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AA" w:rsidRPr="00C929F4" w:rsidRDefault="00811A21" w:rsidP="00C929F4">
      <w:pPr>
        <w:tabs>
          <w:tab w:val="left" w:pos="576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Make this section a part of the Standard Specifications:</w:t>
      </w:r>
    </w:p>
    <w:p w:rsidR="006D6FAA" w:rsidRPr="00C929F4" w:rsidRDefault="006D6FAA" w:rsidP="00C929F4">
      <w:pPr>
        <w:ind w:left="144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right" w:pos="8208"/>
        </w:tabs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5FA1" w:rsidRPr="00C929F4" w:rsidRDefault="00CE5FA1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103.01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Consideration of Proposals.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will compare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5"/>
          <w:sz w:val="24"/>
          <w:szCs w:val="24"/>
        </w:rPr>
        <w:t>proposals in terms of the summation of the products of the approximate</w:t>
      </w:r>
      <w:r w:rsidR="00AD6026" w:rsidRPr="00C929F4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quantities and the unit bid prices after the Contracts Officer opens and reads the</w:t>
      </w:r>
      <w:r w:rsidR="00AD6026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proposals.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will make the results immediately available to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public.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If a discrepancy occurs between the unit bid price and the bid price,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unit bid price shall govern.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8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</w:tabs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"Buy America" provisions in the Surface Transportation Assistance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Act of 1982 is applicable to Federal-aid projects.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Bidders may submit a bid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based upon the furnishing and use of domestic steel or foreign steel</w:t>
      </w:r>
      <w:r w:rsidR="00601687">
        <w:rPr>
          <w:rFonts w:ascii="Arial" w:eastAsia="Arial" w:hAnsi="Arial" w:cs="Arial"/>
          <w:color w:val="000000"/>
          <w:sz w:val="24"/>
          <w:szCs w:val="24"/>
        </w:rPr>
        <w:t xml:space="preserve">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Manufacturing processes for domestic steel shall occur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in the United States.</w:t>
      </w:r>
    </w:p>
    <w:p w:rsidR="006D6FAA" w:rsidRPr="00C929F4" w:rsidRDefault="006D6FAA" w:rsidP="00C929F4">
      <w:pPr>
        <w:tabs>
          <w:tab w:val="left" w:pos="720"/>
        </w:tabs>
        <w:jc w:val="both"/>
        <w:textAlignment w:val="baseline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</w:p>
    <w:p w:rsidR="006D6FAA" w:rsidRPr="00601687" w:rsidRDefault="00811A21" w:rsidP="00C929F4">
      <w:pPr>
        <w:tabs>
          <w:tab w:val="left" w:pos="720"/>
        </w:tabs>
        <w:jc w:val="both"/>
        <w:textAlignment w:val="baseline"/>
        <w:rPr>
          <w:rFonts w:ascii="Arial" w:eastAsia="Arial" w:hAnsi="Arial" w:cs="Arial"/>
          <w:strike/>
          <w:spacing w:val="1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will consider the bid based on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furnishing domestic </w:t>
      </w:r>
      <w:r w:rsidRPr="00601687">
        <w:rPr>
          <w:rFonts w:ascii="Arial" w:eastAsia="Arial" w:hAnsi="Arial" w:cs="Arial"/>
          <w:spacing w:val="10"/>
          <w:sz w:val="24"/>
          <w:szCs w:val="24"/>
        </w:rPr>
        <w:t>steel</w:t>
      </w:r>
      <w:r w:rsidR="00CE5FA1" w:rsidRPr="00601687">
        <w:rPr>
          <w:rFonts w:ascii="Arial" w:eastAsia="Arial" w:hAnsi="Arial" w:cs="Arial"/>
          <w:spacing w:val="10"/>
          <w:sz w:val="24"/>
          <w:szCs w:val="24"/>
        </w:rPr>
        <w:t>.</w:t>
      </w:r>
    </w:p>
    <w:p w:rsidR="00601687" w:rsidRPr="00C929F4" w:rsidRDefault="00601687" w:rsidP="00C929F4">
      <w:pPr>
        <w:tabs>
          <w:tab w:val="left" w:pos="720"/>
        </w:tabs>
        <w:jc w:val="both"/>
        <w:textAlignment w:val="baseline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right" w:pos="8208"/>
        </w:tabs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waive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7"/>
          <w:sz w:val="24"/>
          <w:szCs w:val="24"/>
        </w:rPr>
        <w:t>advertisement favors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CE5FA1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4"/>
          <w:sz w:val="24"/>
          <w:szCs w:val="24"/>
        </w:rPr>
        <w:t>be made within 60 calendar days after the opening of bids, to the lowest</w:t>
      </w:r>
      <w:r w:rsidR="00AD6026" w:rsidRPr="00C929F4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responsible bidder whose proposal complies with all the requirements.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8"/>
          <w:sz w:val="24"/>
          <w:szCs w:val="24"/>
        </w:rPr>
        <w:t>proposal, that its proposal has been accepted, and that it has been awarded</w:t>
      </w:r>
      <w:r w:rsidR="00AD6026" w:rsidRPr="00C929F4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contract.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6D6FAA" w:rsidRPr="00C929F4" w:rsidRDefault="00601687" w:rsidP="00601687">
      <w:pPr>
        <w:tabs>
          <w:tab w:val="left" w:pos="720"/>
          <w:tab w:val="left" w:pos="1440"/>
          <w:tab w:val="left" w:pos="216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11A21"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11A21" w:rsidRPr="00C929F4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="00811A21"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documents should be submitted to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Department as soon as possible. If a valid certificate/clearance is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1"/>
        </w:numPr>
        <w:tabs>
          <w:tab w:val="left" w:pos="720"/>
          <w:tab w:val="left" w:pos="1296"/>
          <w:tab w:val="left" w:pos="1440"/>
          <w:tab w:val="right" w:pos="9216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C929F4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demonstrate its c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ompliance with HRS Chapter 237.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:rsidR="00601687" w:rsidRDefault="00601687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following website: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7">
        <w:r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http://www.hawaii.gov/tax/</w:t>
        </w:r>
      </w:hyperlink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pacing w:val="1"/>
          <w:sz w:val="24"/>
          <w:szCs w:val="24"/>
        </w:rPr>
        <w:t>To receive DOTAX Forms by fax or mail, phone</w:t>
      </w: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(808) 587-7572 or 1-800-222-7572.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Department.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5B29B8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DLIR Certificate of Compliance.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Notice to Proceed.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FORM LIR#27, APPLICATION FOR CERTIFICATE OF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following website: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</w:p>
    <w:p w:rsidR="006D6FAA" w:rsidRPr="00C929F4" w:rsidRDefault="00463503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8">
        <w:r w:rsidR="00811A21"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www.hawaii.gov/labor</w:t>
        </w:r>
      </w:hyperlink>
    </w:p>
    <w:p w:rsidR="006D6FAA" w:rsidRPr="00C929F4" w:rsidRDefault="00811A21" w:rsidP="00C929F4">
      <w:pPr>
        <w:tabs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:rsidR="006D6FAA" w:rsidRPr="00C929F4" w:rsidRDefault="006D6FAA" w:rsidP="00C929F4">
      <w:pPr>
        <w:tabs>
          <w:tab w:val="left" w:pos="135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5B29B8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that it is either: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2088"/>
          <w:tab w:val="left" w:pos="280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pacing w:val="-1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5B29B8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DCCA.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463503" w:rsidP="00C929F4">
      <w:pPr>
        <w:tabs>
          <w:tab w:val="right" w:pos="360"/>
          <w:tab w:val="left" w:pos="144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>
        <w:r w:rsidR="00811A21"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(D)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Pr="00C929F4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2"/>
          <w:sz w:val="24"/>
          <w:szCs w:val="24"/>
        </w:rPr>
        <w:t>cancel the award of contracts before the execution of said contract by the</w:t>
      </w:r>
      <w:r w:rsidR="005B29B8" w:rsidRPr="00C929F4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parties. There will be no liability to the awardee and to other bidders.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5B29B8" w:rsidP="00C929F4">
      <w:pPr>
        <w:tabs>
          <w:tab w:val="left" w:pos="72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11A21" w:rsidRPr="00C929F4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811A21" w:rsidRPr="00C929F4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16"/>
          <w:sz w:val="24"/>
          <w:szCs w:val="24"/>
        </w:rPr>
        <w:t>proposal guaranties, except those of the three lowest bidders, after the</w:t>
      </w:r>
      <w:r w:rsidRPr="00C929F4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epartment checks the proposals.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811A21" w:rsidRPr="00C929F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>guaranties of the remaining two lowest bidders not awarded the contract within</w:t>
      </w:r>
      <w:r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811A21"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furnishes a bond and executes the contract.</w:t>
      </w:r>
    </w:p>
    <w:p w:rsidR="006D6FAA" w:rsidRPr="00C929F4" w:rsidRDefault="006D6FAA" w:rsidP="00C929F4">
      <w:pPr>
        <w:tabs>
          <w:tab w:val="left" w:pos="72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601687">
      <w:pPr>
        <w:tabs>
          <w:tab w:val="left" w:pos="720"/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of Contract Bond.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contract, the successful bidder shall file a good and sufficient performance bond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and a payment bond on the forms furnished by the Department conditioned for</w:t>
      </w:r>
      <w:r w:rsidRPr="00C929F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the full and faithful performance of the contract in accordance with the terms and</w:t>
      </w:r>
      <w:r w:rsidR="005B29B8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Pr="00C929F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furnished by them to the bidder and used in the prosecution of the work provided</w:t>
      </w:r>
      <w:r w:rsidR="005B29B8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Pr="00C929F4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>the amount of the contract price and include 5 percent of the contract amount</w:t>
      </w:r>
      <w:r w:rsidR="005B29B8"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estimated to be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lastRenderedPageBreak/>
        <w:t>required for extra work.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performance and payment bonds to the following: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left" w:pos="244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Surety bond underwritten by a company licensed to issue bonds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 treasurer's check, teller's check drawn by or a certified check accepted by and payable on demand to the State by a bank savings institution or credit union insured by the Federal Deposit Insurance Corporation (FDIC) or the National Credit Union Administration (NCUA).</w:t>
      </w:r>
    </w:p>
    <w:p w:rsidR="006D6FAA" w:rsidRPr="00C929F4" w:rsidRDefault="006D6FAA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 $100,000.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left" w:pos="2448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If the required security or bond amount totals over $100,000 more than one instrument not exceeding $100,000 each and issued by different financial institutions shall be acceptable.</w:t>
      </w:r>
    </w:p>
    <w:p w:rsidR="00811A21" w:rsidRPr="00C929F4" w:rsidRDefault="00811A21" w:rsidP="00C929F4">
      <w:pPr>
        <w:tabs>
          <w:tab w:val="left" w:pos="2160"/>
          <w:tab w:val="left" w:pos="2448"/>
          <w:tab w:val="right" w:pos="936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2250"/>
          <w:tab w:val="right" w:pos="936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Such bonds shall also by the terms inure to the benefit of </w:t>
      </w:r>
      <w:proofErr w:type="gramStart"/>
      <w:r w:rsidRPr="00C929F4">
        <w:rPr>
          <w:rFonts w:ascii="Arial" w:eastAsia="Arial" w:hAnsi="Arial" w:cs="Arial"/>
          <w:color w:val="000000"/>
          <w:sz w:val="24"/>
          <w:szCs w:val="24"/>
        </w:rPr>
        <w:t>any and all</w:t>
      </w:r>
      <w:proofErr w:type="gramEnd"/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persons entitled to file claims for labor done or material furnished in the work so</w:t>
      </w:r>
      <w:r w:rsidRPr="00C929F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as to give them a right of action as contemplated by HRS Section 103D-324.</w:t>
      </w:r>
    </w:p>
    <w:p w:rsidR="006D6FAA" w:rsidRPr="00C929F4" w:rsidRDefault="006D6FAA" w:rsidP="00C929F4">
      <w:pPr>
        <w:tabs>
          <w:tab w:val="left" w:pos="225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Execution of the Contract.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The contract bond and HRS Chapter </w:t>
      </w:r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104 - Compliance Certificate, </w:t>
      </w:r>
      <w:proofErr w:type="gramStart"/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>similar to</w:t>
      </w:r>
      <w:proofErr w:type="gramEnd"/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a copy of the same annexed hereto,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shall be executed by the successful bidder and returned within ten days after the </w:t>
      </w:r>
      <w:r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>award of the contract or within such further time as the Director may allow after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the bidder has received the contract for execution.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The contract shall not bind the Department unless said parties execute </w:t>
      </w:r>
      <w:r w:rsidRPr="00C929F4">
        <w:rPr>
          <w:rFonts w:ascii="Arial" w:eastAsia="Arial" w:hAnsi="Arial" w:cs="Arial"/>
          <w:color w:val="000000"/>
          <w:spacing w:val="10"/>
          <w:sz w:val="24"/>
          <w:szCs w:val="24"/>
        </w:rPr>
        <w:t>the contract and the Director of Finance endorses the bidder's certificate in</w:t>
      </w:r>
      <w:r w:rsidRPr="00C929F4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>accordance with HRS Section 103-39.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Failure to Execute Contract.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Failure to execute the contract and file acceptable bonds shall be cause for the cancellation of the award in accordance with Subsection 103.06 - Execution of the Contract.  Also, the Contractor forfeits the proposal guaranty which becomes the property of the Department.  This is not a penalty, but liquidated damages sustained by the State.  The Department may then make award to the next lowest responsible bidder or the Department may </w:t>
      </w:r>
      <w:proofErr w:type="spellStart"/>
      <w:r w:rsidRPr="00C929F4">
        <w:rPr>
          <w:rFonts w:ascii="Arial" w:eastAsia="Arial" w:hAnsi="Arial" w:cs="Arial"/>
          <w:color w:val="000000"/>
          <w:sz w:val="24"/>
          <w:szCs w:val="24"/>
        </w:rPr>
        <w:t>readvertise</w:t>
      </w:r>
      <w:proofErr w:type="spellEnd"/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and construct the work under contract.”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</w:rPr>
      </w:pP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6D6FAA" w:rsidRPr="00C929F4" w:rsidRDefault="00811A21" w:rsidP="00C929F4">
      <w:pPr>
        <w:tabs>
          <w:tab w:val="left" w:pos="3600"/>
        </w:tabs>
        <w:jc w:val="center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END OF SECTION 103</w:t>
      </w:r>
    </w:p>
    <w:sectPr w:rsidR="006D6FAA" w:rsidRPr="00C929F4" w:rsidSect="00601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84" w:bottom="1440" w:left="1584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26" w:rsidRDefault="00AD6026" w:rsidP="00AD6026">
      <w:r>
        <w:separator/>
      </w:r>
    </w:p>
  </w:endnote>
  <w:endnote w:type="continuationSeparator" w:id="0">
    <w:p w:rsidR="00AD6026" w:rsidRDefault="00AD6026" w:rsidP="00A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25" w:rsidRDefault="000A6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26" w:rsidRDefault="00AD6026" w:rsidP="00AD6026">
    <w:pPr>
      <w:tabs>
        <w:tab w:val="center" w:pos="4320"/>
      </w:tabs>
      <w:spacing w:before="2" w:line="278" w:lineRule="exact"/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:rsidR="00AD6026" w:rsidRDefault="00AD6026" w:rsidP="00AD6026">
    <w:pPr>
      <w:tabs>
        <w:tab w:val="center" w:pos="4320"/>
        <w:tab w:val="right" w:pos="8640"/>
      </w:tabs>
      <w:spacing w:before="5" w:line="277" w:lineRule="exact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  <w:t>103-</w:t>
    </w:r>
    <w:r w:rsidR="00C929F4" w:rsidRPr="00C929F4">
      <w:rPr>
        <w:rFonts w:ascii="Arial" w:eastAsia="Arial" w:hAnsi="Arial"/>
        <w:b/>
        <w:color w:val="000000"/>
        <w:sz w:val="24"/>
      </w:rPr>
      <w:fldChar w:fldCharType="begin"/>
    </w:r>
    <w:r w:rsidR="00C929F4" w:rsidRPr="00C929F4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C929F4" w:rsidRPr="00C929F4">
      <w:rPr>
        <w:rFonts w:ascii="Arial" w:eastAsia="Arial" w:hAnsi="Arial"/>
        <w:b/>
        <w:color w:val="000000"/>
        <w:sz w:val="24"/>
      </w:rPr>
      <w:fldChar w:fldCharType="separate"/>
    </w:r>
    <w:r w:rsidR="00C929F4" w:rsidRPr="00C929F4">
      <w:rPr>
        <w:rFonts w:ascii="Arial" w:eastAsia="Arial" w:hAnsi="Arial"/>
        <w:b/>
        <w:noProof/>
        <w:color w:val="000000"/>
        <w:sz w:val="24"/>
      </w:rPr>
      <w:t>1</w:t>
    </w:r>
    <w:r w:rsidR="00C929F4" w:rsidRPr="00C929F4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463503">
      <w:rPr>
        <w:rFonts w:ascii="Arial" w:eastAsia="Arial" w:hAnsi="Arial"/>
        <w:b/>
        <w:color w:val="000000"/>
        <w:sz w:val="24"/>
      </w:rPr>
      <w:t>9</w:t>
    </w:r>
    <w:bookmarkStart w:id="0" w:name="_GoBack"/>
    <w:bookmarkEnd w:id="0"/>
    <w:r w:rsidR="00463503">
      <w:rPr>
        <w:rFonts w:ascii="Arial" w:eastAsia="Arial" w:hAnsi="Arial"/>
        <w:b/>
        <w:color w:val="000000"/>
        <w:sz w:val="24"/>
      </w:rPr>
      <w:t>/28</w:t>
    </w:r>
    <w:r w:rsidR="00CE5FA1">
      <w:rPr>
        <w:rFonts w:ascii="Arial" w:eastAsia="Arial" w:hAnsi="Arial"/>
        <w:b/>
        <w:color w:val="000000"/>
        <w:sz w:val="24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25" w:rsidRDefault="000A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26" w:rsidRDefault="00AD6026" w:rsidP="00AD6026">
      <w:r>
        <w:separator/>
      </w:r>
    </w:p>
  </w:footnote>
  <w:footnote w:type="continuationSeparator" w:id="0">
    <w:p w:rsidR="00AD6026" w:rsidRDefault="00AD6026" w:rsidP="00AD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25" w:rsidRDefault="000A6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25" w:rsidRDefault="000A6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25" w:rsidRDefault="000A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BD"/>
    <w:multiLevelType w:val="hybridMultilevel"/>
    <w:tmpl w:val="287EC96C"/>
    <w:lvl w:ilvl="0" w:tplc="EEAA729C">
      <w:start w:val="1"/>
      <w:numFmt w:val="upperLetter"/>
      <w:lvlText w:val="(%1)"/>
      <w:lvlJc w:val="left"/>
      <w:pPr>
        <w:ind w:left="1080" w:hanging="360"/>
      </w:pPr>
      <w:rPr>
        <w:rFonts w:ascii="Arial" w:eastAsia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1E6"/>
    <w:multiLevelType w:val="hybridMultilevel"/>
    <w:tmpl w:val="66380550"/>
    <w:lvl w:ilvl="0" w:tplc="3BEC5E1A">
      <w:start w:val="1"/>
      <w:numFmt w:val="decimal"/>
      <w:lvlText w:val="%1."/>
      <w:lvlJc w:val="left"/>
      <w:pPr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FAA"/>
    <w:rsid w:val="000A6625"/>
    <w:rsid w:val="00463503"/>
    <w:rsid w:val="0054586F"/>
    <w:rsid w:val="005B29B8"/>
    <w:rsid w:val="005F05DC"/>
    <w:rsid w:val="00601687"/>
    <w:rsid w:val="006D6FAA"/>
    <w:rsid w:val="00811A21"/>
    <w:rsid w:val="00AD6026"/>
    <w:rsid w:val="00C929F4"/>
    <w:rsid w:val="00C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AF2F"/>
  <w15:docId w15:val="{9A72C0F8-B053-4EDA-9470-B549DEB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6"/>
  </w:style>
  <w:style w:type="paragraph" w:styleId="Footer">
    <w:name w:val="footer"/>
    <w:basedOn w:val="Normal"/>
    <w:link w:val="Foot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26"/>
  </w:style>
  <w:style w:type="paragraph" w:styleId="ListParagraph">
    <w:name w:val="List Paragraph"/>
    <w:basedOn w:val="Normal"/>
    <w:uiPriority w:val="34"/>
    <w:qFormat/>
    <w:rsid w:val="00AD60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A21"/>
  </w:style>
  <w:style w:type="paragraph" w:styleId="BalloonText">
    <w:name w:val="Balloon Text"/>
    <w:basedOn w:val="Normal"/>
    <w:link w:val="BalloonTextChar"/>
    <w:uiPriority w:val="99"/>
    <w:semiHidden/>
    <w:unhideWhenUsed/>
    <w:rsid w:val="00C92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4</cp:revision>
  <dcterms:created xsi:type="dcterms:W3CDTF">2018-09-17T23:20:00Z</dcterms:created>
  <dcterms:modified xsi:type="dcterms:W3CDTF">2018-09-20T00:53:00Z</dcterms:modified>
</cp:coreProperties>
</file>