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AA" w:rsidRPr="00C929F4" w:rsidRDefault="00811A21" w:rsidP="00C929F4">
      <w:pPr>
        <w:tabs>
          <w:tab w:val="left" w:pos="576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color w:val="000000"/>
          <w:sz w:val="24"/>
          <w:szCs w:val="24"/>
        </w:rPr>
        <w:t>Make this section a part of the Standard Specifications:</w:t>
      </w:r>
    </w:p>
    <w:p w:rsidR="006D6FAA" w:rsidRPr="00C929F4" w:rsidRDefault="006D6FAA" w:rsidP="00C929F4">
      <w:pPr>
        <w:ind w:left="144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6D6FAA" w:rsidRPr="00C929F4" w:rsidRDefault="00811A21" w:rsidP="00C929F4">
      <w:pPr>
        <w:tabs>
          <w:tab w:val="right" w:pos="8208"/>
        </w:tabs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“SECTION 103 - AWARD AND EXECUTION OF CONTRACT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E5FA1" w:rsidRPr="00C929F4" w:rsidRDefault="00CE5FA1" w:rsidP="00C929F4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6D6FAA" w:rsidRPr="00C929F4" w:rsidRDefault="00811A21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103.01</w:t>
      </w:r>
      <w:r w:rsidR="00AD6026"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Consideration of Proposals.</w:t>
      </w:r>
      <w:r w:rsidR="00AD6026"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Department will compare the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15"/>
          <w:sz w:val="24"/>
          <w:szCs w:val="24"/>
        </w:rPr>
        <w:t>proposals in terms of the summation of the products of the approximate</w:t>
      </w:r>
      <w:r w:rsidR="00AD6026" w:rsidRPr="00C929F4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2"/>
          <w:sz w:val="24"/>
          <w:szCs w:val="24"/>
        </w:rPr>
        <w:t>quantities and the unit bid prices after the Contracts Officer opens and reads the</w:t>
      </w:r>
      <w:r w:rsidR="00AD6026" w:rsidRPr="00C929F4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proposals.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Department will make the results immediately available to the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public.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If a discrepancy occurs between the unit bid price and the bid price,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>the unit bid price shall govern.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18"/>
          <w:sz w:val="24"/>
          <w:szCs w:val="24"/>
        </w:rPr>
      </w:pPr>
    </w:p>
    <w:p w:rsidR="006D6FAA" w:rsidRPr="00C929F4" w:rsidRDefault="00811A21" w:rsidP="00C929F4">
      <w:pPr>
        <w:tabs>
          <w:tab w:val="left" w:pos="720"/>
          <w:tab w:val="right" w:pos="8208"/>
        </w:tabs>
        <w:jc w:val="both"/>
        <w:textAlignment w:val="baseline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Department reserves the right to reject proposals,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waive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technicalities or advertise for new proposals, if the rejection, waiver, or new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7"/>
          <w:sz w:val="24"/>
          <w:szCs w:val="24"/>
        </w:rPr>
        <w:t>advertisement favors the Department.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6D6FAA" w:rsidRPr="00C929F4" w:rsidRDefault="00811A21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103.02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Award of Contract. </w:t>
      </w:r>
      <w:r w:rsidR="00CE5FA1"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award of contract, if it be awarded, will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14"/>
          <w:sz w:val="24"/>
          <w:szCs w:val="24"/>
        </w:rPr>
        <w:t>be made within 60 calendar days after the opening of bids, to the lowest</w:t>
      </w:r>
      <w:r w:rsidR="00AD6026" w:rsidRPr="00C929F4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responsible bidder whose proposal complies with all the requirements.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successful bidder will be notified by letter mailed to the address shown in its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8"/>
          <w:sz w:val="24"/>
          <w:szCs w:val="24"/>
        </w:rPr>
        <w:t>proposal, that its proposal has been accepted, and that it has been awarded</w:t>
      </w:r>
      <w:r w:rsidR="00AD6026" w:rsidRPr="00C929F4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>the contract.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p w:rsidR="006D6FAA" w:rsidRPr="00C929F4" w:rsidRDefault="00811A21" w:rsidP="00BF2731">
      <w:pPr>
        <w:tabs>
          <w:tab w:val="left" w:pos="1080"/>
          <w:tab w:val="left" w:pos="1800"/>
          <w:tab w:val="left" w:pos="2160"/>
        </w:tabs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(1)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Requirement for Award. </w:t>
      </w:r>
      <w:r w:rsidR="00AD6026"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To be eligible for award, the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apparent low bidder will be contacted to submit copies of the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documents listed below to demonstrate compliance with HRS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Section 103D-310(c). </w:t>
      </w:r>
      <w:r w:rsidR="00CE5FA1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documents should be submitted to the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Department as soon as possible. If a valid certificate/clearance is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not submitted on a timely basis for award of a contract, a bidder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otherwise responsive and responsible may not receive the award.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See also Subsection 108.03 – Preconstruction Data Submittal.</w:t>
      </w:r>
    </w:p>
    <w:p w:rsidR="006D6FAA" w:rsidRPr="00C929F4" w:rsidRDefault="006D6FAA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</w:p>
    <w:p w:rsidR="006D6FAA" w:rsidRPr="00C929F4" w:rsidRDefault="00811A21" w:rsidP="00BF273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9216"/>
        </w:tabs>
        <w:ind w:left="72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Tax Clearance. </w:t>
      </w:r>
      <w:r w:rsidR="00AD6026"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Pursuant to HRS Sections 103D-310(c), 103-53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and 103D-328, the successful bidder shall be required to submit a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certified copy of its tax clearance issued by the Hawaii State Department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of Taxation (DOTAX) </w:t>
      </w:r>
      <w:r w:rsidRPr="00C929F4">
        <w:rPr>
          <w:rFonts w:ascii="Arial" w:eastAsia="Arial" w:hAnsi="Arial" w:cs="Arial"/>
          <w:color w:val="000000"/>
          <w:sz w:val="24"/>
          <w:szCs w:val="24"/>
          <w:u w:val="single"/>
        </w:rPr>
        <w:t>and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the Internal Revenue Service (IRS) to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demonstrate its c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ompliance with HRS Chapter 237.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A tax clearance is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valid for six (6) months from the most recent approval stamp date on the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tax clearance and must be valid on the bid’s first legal advertisement date</w:t>
      </w:r>
      <w:r w:rsidR="00AD6026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or any date thereafter up to the bid opening date.</w:t>
      </w:r>
    </w:p>
    <w:p w:rsidR="00601687" w:rsidRDefault="00601687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6D6FAA" w:rsidRPr="00C929F4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FORM A6, TAX CLEARANCE CERTIFICATE, is available at</w:t>
      </w:r>
    </w:p>
    <w:p w:rsidR="006D6FAA" w:rsidRPr="00C929F4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following website:</w:t>
      </w:r>
    </w:p>
    <w:p w:rsidR="006D6FAA" w:rsidRPr="00C929F4" w:rsidRDefault="006D6FAA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0"/>
          <w:sz w:val="24"/>
          <w:szCs w:val="24"/>
        </w:rPr>
      </w:pPr>
    </w:p>
    <w:p w:rsidR="006D6FAA" w:rsidRPr="00C929F4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7">
        <w:r w:rsidRPr="00C929F4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http://www.hawaii.gov/tax/</w:t>
        </w:r>
      </w:hyperlink>
    </w:p>
    <w:p w:rsidR="00BF2731" w:rsidRDefault="00BF2731">
      <w:pPr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br w:type="page"/>
      </w:r>
    </w:p>
    <w:p w:rsidR="006D6FAA" w:rsidRPr="00C929F4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pacing w:val="1"/>
          <w:sz w:val="24"/>
          <w:szCs w:val="24"/>
        </w:rPr>
        <w:lastRenderedPageBreak/>
        <w:tab/>
      </w:r>
      <w:r w:rsidRPr="00C929F4">
        <w:rPr>
          <w:rFonts w:ascii="Arial" w:eastAsia="Arial" w:hAnsi="Arial" w:cs="Arial"/>
          <w:color w:val="000000"/>
          <w:spacing w:val="1"/>
          <w:sz w:val="24"/>
          <w:szCs w:val="24"/>
        </w:rPr>
        <w:t>To receive DOTAX Forms by fax or mail, phone</w:t>
      </w:r>
    </w:p>
    <w:p w:rsidR="006D6FAA" w:rsidRPr="00C929F4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(808) 587-7572 or 1-800-222-7572.</w:t>
      </w:r>
    </w:p>
    <w:p w:rsidR="006D6FAA" w:rsidRPr="00C929F4" w:rsidRDefault="006D6FAA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application for the Tax Clearance Certificate is the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DOTAX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or IRS.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>Department.</w:t>
      </w:r>
    </w:p>
    <w:p w:rsidR="006D6FAA" w:rsidRPr="00C929F4" w:rsidRDefault="006D6FAA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6D6FAA" w:rsidRPr="00C929F4" w:rsidRDefault="005B29B8" w:rsidP="00C929F4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72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DLIR Certificate of Compliance. 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Pursuant to HRS Section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103D-310(c), the successful bidder shall be required to submit a copy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(faxed copies are acceptable) of its approved certificate of compliance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issued by the Hawaii State Department of Labor and Industrial Relations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(DLIR) to demonstrate its compliance with unemployment insurance (HRS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Chapter 383), workers’ compensation (HRS Chapter 386), temporary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disability insurance (HRS Chapter 392), and prepaid health care (HRS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Chapter 393).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The certificate is valid for six (6) months from the most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recent approval stamp date on the certificate and must be valid on the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bid’s first legal advertisement date or any date thereafter up to the bid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opening date.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For certificates which receive a “pending” approval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stamp, a DLIR approval stamp is required prior to the issuance of the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>Notice to Proceed.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6D6FAA" w:rsidRPr="00C929F4" w:rsidRDefault="00811A21" w:rsidP="00C929F4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C929F4">
        <w:rPr>
          <w:rFonts w:ascii="Arial" w:eastAsia="Arial" w:hAnsi="Arial" w:cs="Arial"/>
          <w:color w:val="000000"/>
          <w:sz w:val="24"/>
          <w:szCs w:val="24"/>
        </w:rPr>
        <w:t>FORM LIR#27, APPLICATION FOR CERTIFICATE OF</w:t>
      </w:r>
      <w:r w:rsidR="00CE5FA1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COMPLIANCE WITH SECTION 3-122-112, HAR, is available at the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>following website: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12"/>
          <w:sz w:val="24"/>
          <w:szCs w:val="24"/>
        </w:rPr>
      </w:pPr>
    </w:p>
    <w:p w:rsidR="006D6FAA" w:rsidRDefault="00C12B54" w:rsidP="00C929F4">
      <w:pPr>
        <w:tabs>
          <w:tab w:val="left" w:pos="2016"/>
        </w:tabs>
        <w:ind w:left="2160"/>
        <w:jc w:val="both"/>
        <w:textAlignment w:val="baseline"/>
        <w:rPr>
          <w:rFonts w:ascii="Arial" w:eastAsia="Arial" w:hAnsi="Arial" w:cs="Arial"/>
          <w:color w:val="0000FF"/>
          <w:sz w:val="24"/>
          <w:szCs w:val="24"/>
          <w:u w:val="single"/>
        </w:rPr>
      </w:pPr>
      <w:hyperlink r:id="rId8">
        <w:r w:rsidR="00811A21" w:rsidRPr="00C929F4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www.hawaii.gov/labor</w:t>
        </w:r>
      </w:hyperlink>
    </w:p>
    <w:p w:rsidR="00BF2731" w:rsidRPr="00C929F4" w:rsidRDefault="00BF2731" w:rsidP="00C929F4">
      <w:pPr>
        <w:tabs>
          <w:tab w:val="left" w:pos="2016"/>
        </w:tabs>
        <w:ind w:left="21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6D6FAA" w:rsidRPr="00C929F4" w:rsidRDefault="00811A21" w:rsidP="00C929F4">
      <w:pPr>
        <w:tabs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color w:val="000000"/>
          <w:sz w:val="24"/>
          <w:szCs w:val="24"/>
        </w:rPr>
        <w:t>More information is available by calling the DLIR Unemployment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Insurance Division at (808) 586-8926.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135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Inquiries regarding the status of a LIR#27 Form may be made by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calling the DLIR Disability Compensation Division at (808) 586-9200.</w:t>
      </w:r>
    </w:p>
    <w:p w:rsidR="006D6FAA" w:rsidRPr="00C929F4" w:rsidRDefault="006D6FAA" w:rsidP="00C929F4">
      <w:pPr>
        <w:tabs>
          <w:tab w:val="left" w:pos="135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135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application for the Certificate of Compliance is the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DLIR.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 Department.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</w:p>
    <w:p w:rsidR="006D6FAA" w:rsidRPr="00C929F4" w:rsidRDefault="00811A21" w:rsidP="00C929F4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72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DCCA Certificate of Good Standing. </w:t>
      </w:r>
      <w:r w:rsidR="005B29B8"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Pursuant to HRS Section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103D-310(c), the successful bidder shall be required to submit a copy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>(faxed copies are acceptable) of its approved Certificate of Good Standing</w:t>
      </w:r>
      <w:r w:rsidR="005B29B8"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issued by the Hawaii State Department of Commerce and Consumer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Affairs (DCCA), Business Registration Division (BREG) to demonstrate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that it is either: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2088"/>
          <w:tab w:val="left" w:pos="2808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(1)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Incorporated or organized under the laws of the State; or</w:t>
      </w:r>
    </w:p>
    <w:p w:rsidR="006D6FAA" w:rsidRPr="00C929F4" w:rsidRDefault="006D6FAA" w:rsidP="00C929F4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2088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(2)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Registered to do business in the State as a separate branch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or division that is capable of fully performing under the contract.</w:t>
      </w:r>
    </w:p>
    <w:p w:rsidR="006D6FAA" w:rsidRPr="00C929F4" w:rsidRDefault="006D6FAA" w:rsidP="00C929F4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pacing w:val="-1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>The Certificate of Good Standing is valid for six (6) months from the</w:t>
      </w:r>
      <w:r w:rsidR="005B29B8" w:rsidRPr="00C929F4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approval date on the certificate and must be valid on the bid’s first legal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advertisement date or any date thereafter up to the bid opening date.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Hawaii business that is a sole proprietorship, however, is not required to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register with the BREG, and therefore not required to submit a Certificate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of Good Standing.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Bidders are advised that there are costs associated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with registering and obtaining a Certificate of Good Standing from the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DCCA.</w:t>
      </w:r>
    </w:p>
    <w:p w:rsidR="006D6FAA" w:rsidRPr="00C929F4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To purchase a CERTIFICATE OF GOOD STANDING, go to On-Line Services at the following website:</w:t>
      </w:r>
    </w:p>
    <w:p w:rsidR="006D6FAA" w:rsidRPr="00C929F4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:rsidR="006D6FAA" w:rsidRPr="00C929F4" w:rsidRDefault="00C12B54" w:rsidP="00C929F4">
      <w:pPr>
        <w:tabs>
          <w:tab w:val="right" w:pos="360"/>
          <w:tab w:val="left" w:pos="1440"/>
          <w:tab w:val="left" w:pos="2088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9">
        <w:r w:rsidR="00811A21" w:rsidRPr="00C929F4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www.hawaii.gov/dcca/</w:t>
        </w:r>
      </w:hyperlink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6D6FAA" w:rsidRPr="00C929F4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application for the Certificate of Good Standing is the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DCCA.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 Department.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</w:p>
    <w:p w:rsidR="006D6FAA" w:rsidRPr="00C929F4" w:rsidRDefault="00811A21" w:rsidP="00C929F4">
      <w:pPr>
        <w:tabs>
          <w:tab w:val="right" w:pos="360"/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(D)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  <w:t>Hawaii Compliance Express (HCE).</w:t>
      </w:r>
      <w:r w:rsidR="005B29B8"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In lieu of the certificates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referenced above, the bidder may make available proof of compliance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through the Hawaii Compliance Express or any other designated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certification process. </w:t>
      </w:r>
      <w:r w:rsidR="00CE5FA1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Bidders may apply and register at the “Hawaii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Compliance Express” website: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:rsidR="006D6FAA" w:rsidRPr="00C929F4" w:rsidRDefault="00811A21" w:rsidP="002E5C8D">
      <w:pPr>
        <w:tabs>
          <w:tab w:val="left" w:pos="1080"/>
          <w:tab w:val="right" w:pos="9360"/>
        </w:tabs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103.03</w:t>
      </w:r>
      <w:r w:rsidR="005B29B8"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Cancellation of Award.</w:t>
      </w:r>
      <w:r w:rsidR="005B29B8"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Department reserves the right to</w:t>
      </w:r>
      <w:r w:rsidRPr="00C929F4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12"/>
          <w:sz w:val="24"/>
          <w:szCs w:val="24"/>
        </w:rPr>
        <w:t>cancel the award of contracts before the execution of said contract by the</w:t>
      </w:r>
      <w:r w:rsidR="005B29B8" w:rsidRPr="00C929F4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3"/>
          <w:sz w:val="24"/>
          <w:szCs w:val="24"/>
        </w:rPr>
        <w:t>parties. There will be no liability to the awardee and to other bidders.</w:t>
      </w:r>
    </w:p>
    <w:p w:rsidR="006D6FAA" w:rsidRPr="00C929F4" w:rsidRDefault="006D6FAA" w:rsidP="002E5C8D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5B29B8" w:rsidP="002E5C8D">
      <w:pPr>
        <w:tabs>
          <w:tab w:val="left" w:pos="720"/>
          <w:tab w:val="left" w:pos="1080"/>
          <w:tab w:val="left" w:pos="1350"/>
        </w:tabs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103.04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811A21" w:rsidRPr="00C929F4">
        <w:rPr>
          <w:rFonts w:ascii="Arial" w:eastAsia="Arial" w:hAnsi="Arial" w:cs="Arial"/>
          <w:b/>
          <w:color w:val="000000"/>
          <w:sz w:val="24"/>
          <w:szCs w:val="24"/>
        </w:rPr>
        <w:t>Return of Proposal Guaranty.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The Department will return the</w:t>
      </w:r>
      <w:r w:rsidR="00811A21" w:rsidRPr="00C929F4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pacing w:val="16"/>
          <w:sz w:val="24"/>
          <w:szCs w:val="24"/>
        </w:rPr>
        <w:t>proposal guaranties, except those of the three lowest bidders, after the</w:t>
      </w:r>
      <w:r w:rsidRPr="00C929F4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D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epartment checks the proposals. 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The Department will return the proposal</w:t>
      </w:r>
      <w:r w:rsidR="00811A21" w:rsidRPr="00C929F4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pacing w:val="4"/>
          <w:sz w:val="24"/>
          <w:szCs w:val="24"/>
        </w:rPr>
        <w:t>guaranties of the remaining two lowest bidders not awarded the contract within</w:t>
      </w:r>
      <w:r w:rsidRPr="00C929F4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five working days following the execution of the contract.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The Department will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z w:val="24"/>
          <w:szCs w:val="24"/>
        </w:rPr>
        <w:t>return the successful bidder's proposal guaranty after the successful bidder</w:t>
      </w:r>
      <w:r w:rsidR="00811A21" w:rsidRPr="00C929F4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811A21" w:rsidRPr="00C929F4">
        <w:rPr>
          <w:rFonts w:ascii="Arial" w:eastAsia="Arial" w:hAnsi="Arial" w:cs="Arial"/>
          <w:color w:val="000000"/>
          <w:spacing w:val="5"/>
          <w:sz w:val="24"/>
          <w:szCs w:val="24"/>
        </w:rPr>
        <w:t>furnishes a bond and executes the contract.</w:t>
      </w:r>
    </w:p>
    <w:p w:rsidR="006D6FAA" w:rsidRPr="00C929F4" w:rsidRDefault="006D6FAA" w:rsidP="002E5C8D">
      <w:pPr>
        <w:tabs>
          <w:tab w:val="left" w:pos="720"/>
          <w:tab w:val="left" w:pos="1080"/>
          <w:tab w:val="left" w:pos="1350"/>
        </w:tabs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2E5C8D">
      <w:pPr>
        <w:tabs>
          <w:tab w:val="left" w:pos="720"/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103.05</w:t>
      </w:r>
      <w:r w:rsidR="005B29B8" w:rsidRPr="00C929F4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Requirement of Contract Bond.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At the time of execution of the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3"/>
          <w:sz w:val="24"/>
          <w:szCs w:val="24"/>
        </w:rPr>
        <w:t>contract, the successful bidder shall file a good and sufficient performance bond</w:t>
      </w:r>
      <w:r w:rsidRPr="00C929F4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5"/>
          <w:sz w:val="24"/>
          <w:szCs w:val="24"/>
        </w:rPr>
        <w:t>and a payment bond on the forms furnished by the Department conditioned for</w:t>
      </w:r>
      <w:r w:rsidRPr="00C929F4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2"/>
          <w:sz w:val="24"/>
          <w:szCs w:val="24"/>
        </w:rPr>
        <w:t>the full and faithful performance of the contract in accordance with the terms and</w:t>
      </w:r>
      <w:r w:rsidR="005B29B8" w:rsidRPr="00C929F4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intent thereof and for the prompt payment to all others for all labor and material</w:t>
      </w:r>
      <w:r w:rsidRPr="00C929F4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2"/>
          <w:sz w:val="24"/>
          <w:szCs w:val="24"/>
        </w:rPr>
        <w:t>furnished by them to the bidder and used in the prosecution of the work provided</w:t>
      </w:r>
      <w:r w:rsidR="005B29B8" w:rsidRPr="00C929F4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for in the contract.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bonds shall be of an amount equal to 100 percent of</w:t>
      </w:r>
      <w:r w:rsidRPr="00C929F4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6"/>
          <w:sz w:val="24"/>
          <w:szCs w:val="24"/>
        </w:rPr>
        <w:t>the amount of the contract price and include 5 percent of the contract amount</w:t>
      </w:r>
      <w:r w:rsidR="005B29B8" w:rsidRPr="00C929F4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estimated to be required for extra work.</w:t>
      </w:r>
      <w:r w:rsidR="005B29B8" w:rsidRPr="00C929F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>The bidder shall limit the acceptable</w:t>
      </w:r>
      <w:r w:rsidRPr="00C929F4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5"/>
          <w:sz w:val="24"/>
          <w:szCs w:val="24"/>
        </w:rPr>
        <w:t>performance and payment bonds to the following:</w:t>
      </w:r>
    </w:p>
    <w:p w:rsidR="006D6FAA" w:rsidRPr="00C929F4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:rsidR="006D6FAA" w:rsidRPr="00C929F4" w:rsidRDefault="00811A21" w:rsidP="00C929F4">
      <w:pPr>
        <w:tabs>
          <w:tab w:val="left" w:pos="1440"/>
          <w:tab w:val="left" w:pos="1728"/>
          <w:tab w:val="left" w:pos="244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(a)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Legal tender;</w:t>
      </w:r>
    </w:p>
    <w:p w:rsidR="006D6FAA" w:rsidRPr="00C929F4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:rsidR="006D6FAA" w:rsidRPr="00C929F4" w:rsidRDefault="00811A21" w:rsidP="00C929F4">
      <w:pPr>
        <w:tabs>
          <w:tab w:val="left" w:pos="1440"/>
          <w:tab w:val="left" w:pos="1728"/>
          <w:tab w:val="right" w:pos="936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(b)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Surety bond underwritten by a company licensed to issue bonds </w:t>
      </w:r>
      <w:r w:rsidRPr="00C929F4">
        <w:rPr>
          <w:rFonts w:ascii="Arial" w:eastAsia="Arial" w:hAnsi="Arial" w:cs="Arial"/>
          <w:color w:val="000000"/>
          <w:spacing w:val="3"/>
          <w:sz w:val="24"/>
          <w:szCs w:val="24"/>
        </w:rPr>
        <w:t>in the State of Hawaii; or</w:t>
      </w:r>
    </w:p>
    <w:p w:rsidR="006D6FAA" w:rsidRPr="00C929F4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C929F4">
      <w:pPr>
        <w:tabs>
          <w:tab w:val="left" w:pos="1440"/>
          <w:tab w:val="left" w:pos="1728"/>
          <w:tab w:val="right" w:pos="936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(c)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>A certificate of deposit; share certificate; cashier's check; treasurer's check, teller's check drawn by or a certified check accepted by and payable on demand to the State by a bank savings institution or credit union insured by the Federal Deposit Insurance Corporation (FDIC) or the National Credit Union Administration (NCUA).</w:t>
      </w:r>
    </w:p>
    <w:p w:rsidR="006D6FAA" w:rsidRPr="00C929F4" w:rsidRDefault="006D6FAA" w:rsidP="00C929F4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:rsidR="006D6FAA" w:rsidRPr="00C929F4" w:rsidRDefault="00811A21" w:rsidP="00C929F4">
      <w:pPr>
        <w:pStyle w:val="ListParagraph"/>
        <w:numPr>
          <w:ilvl w:val="0"/>
          <w:numId w:val="2"/>
        </w:numPr>
        <w:tabs>
          <w:tab w:val="left" w:pos="2160"/>
          <w:tab w:val="right" w:pos="9360"/>
        </w:tabs>
        <w:ind w:left="144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color w:val="000000"/>
          <w:sz w:val="24"/>
          <w:szCs w:val="24"/>
        </w:rPr>
        <w:t>The bidder may use these instruments only to a maximum of $100,000.</w:t>
      </w:r>
    </w:p>
    <w:p w:rsidR="006D6FAA" w:rsidRPr="00C929F4" w:rsidRDefault="006D6FAA" w:rsidP="00C929F4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C929F4">
      <w:pPr>
        <w:pStyle w:val="ListParagraph"/>
        <w:numPr>
          <w:ilvl w:val="0"/>
          <w:numId w:val="2"/>
        </w:numPr>
        <w:tabs>
          <w:tab w:val="left" w:pos="2160"/>
          <w:tab w:val="left" w:pos="2448"/>
          <w:tab w:val="right" w:pos="9360"/>
        </w:tabs>
        <w:ind w:left="144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 w:rsidRPr="00C929F4">
        <w:rPr>
          <w:rFonts w:ascii="Arial" w:eastAsia="Arial" w:hAnsi="Arial" w:cs="Arial"/>
          <w:color w:val="000000"/>
          <w:sz w:val="24"/>
          <w:szCs w:val="24"/>
        </w:rPr>
        <w:t>If the required security or bond amount totals over $100,000 more than one instrument not exceeding $100,000 each and issued by different financial institutions shall be acceptable.</w:t>
      </w:r>
    </w:p>
    <w:p w:rsidR="00811A21" w:rsidRPr="00C929F4" w:rsidRDefault="00811A21" w:rsidP="00C929F4">
      <w:pPr>
        <w:tabs>
          <w:tab w:val="left" w:pos="2160"/>
          <w:tab w:val="left" w:pos="2448"/>
          <w:tab w:val="right" w:pos="9360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2E5C8D">
      <w:pPr>
        <w:tabs>
          <w:tab w:val="left" w:pos="720"/>
          <w:tab w:val="left" w:pos="1440"/>
          <w:tab w:val="left" w:pos="2250"/>
          <w:tab w:val="right" w:pos="9360"/>
        </w:tabs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Such bonds shall also by the terms inure to the benefit of </w:t>
      </w:r>
      <w:proofErr w:type="gramStart"/>
      <w:r w:rsidRPr="00C929F4">
        <w:rPr>
          <w:rFonts w:ascii="Arial" w:eastAsia="Arial" w:hAnsi="Arial" w:cs="Arial"/>
          <w:color w:val="000000"/>
          <w:sz w:val="24"/>
          <w:szCs w:val="24"/>
        </w:rPr>
        <w:t>any and all</w:t>
      </w:r>
      <w:proofErr w:type="gramEnd"/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persons entitled to file claims for labor done or material furnished in the work so</w:t>
      </w:r>
      <w:r w:rsidRPr="00C929F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3"/>
          <w:sz w:val="24"/>
          <w:szCs w:val="24"/>
        </w:rPr>
        <w:t>as to give them a right of action as contemplated by HRS Section 103D-324.</w:t>
      </w:r>
    </w:p>
    <w:p w:rsidR="006D6FAA" w:rsidRPr="00C929F4" w:rsidRDefault="006D6FAA" w:rsidP="00C929F4">
      <w:pPr>
        <w:tabs>
          <w:tab w:val="left" w:pos="2250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6D6FAA" w:rsidRPr="00C929F4" w:rsidRDefault="00811A21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103.06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Execution of the Contract.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The contract bond and HRS Chapter </w:t>
      </w:r>
      <w:r w:rsidRPr="00C929F4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104 - Compliance Certificate, </w:t>
      </w:r>
      <w:proofErr w:type="gramStart"/>
      <w:r w:rsidRPr="00C929F4">
        <w:rPr>
          <w:rFonts w:ascii="Arial" w:eastAsia="Arial" w:hAnsi="Arial" w:cs="Arial"/>
          <w:color w:val="000000"/>
          <w:spacing w:val="9"/>
          <w:sz w:val="24"/>
          <w:szCs w:val="24"/>
        </w:rPr>
        <w:t>similar to</w:t>
      </w:r>
      <w:proofErr w:type="gramEnd"/>
      <w:r w:rsidRPr="00C929F4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a copy of the same annexed hereto,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shall be executed by the successful bidder and returned within ten days after the </w:t>
      </w:r>
      <w:r w:rsidRPr="00C929F4">
        <w:rPr>
          <w:rFonts w:ascii="Arial" w:eastAsia="Arial" w:hAnsi="Arial" w:cs="Arial"/>
          <w:color w:val="000000"/>
          <w:spacing w:val="4"/>
          <w:sz w:val="24"/>
          <w:szCs w:val="24"/>
        </w:rPr>
        <w:t>award of the contract or within such further time as the Director may allow after</w:t>
      </w:r>
      <w:r w:rsidRPr="00C929F4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5"/>
          <w:sz w:val="24"/>
          <w:szCs w:val="24"/>
        </w:rPr>
        <w:t>the bidder has received the contract for execution.</w:t>
      </w:r>
    </w:p>
    <w:p w:rsidR="006D6FAA" w:rsidRPr="00C929F4" w:rsidRDefault="006D6FAA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6D6FAA" w:rsidRPr="00C929F4" w:rsidRDefault="00811A21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C929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The contract shall not bind the Department unless said parties execute </w:t>
      </w:r>
      <w:r w:rsidRPr="00C929F4">
        <w:rPr>
          <w:rFonts w:ascii="Arial" w:eastAsia="Arial" w:hAnsi="Arial" w:cs="Arial"/>
          <w:color w:val="000000"/>
          <w:spacing w:val="10"/>
          <w:sz w:val="24"/>
          <w:szCs w:val="24"/>
        </w:rPr>
        <w:t>the contract and the Director of Finance endorses the bidder's certificate in</w:t>
      </w:r>
      <w:r w:rsidRPr="00C929F4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C929F4">
        <w:rPr>
          <w:rFonts w:ascii="Arial" w:eastAsia="Arial" w:hAnsi="Arial" w:cs="Arial"/>
          <w:color w:val="000000"/>
          <w:spacing w:val="6"/>
          <w:sz w:val="24"/>
          <w:szCs w:val="24"/>
        </w:rPr>
        <w:t>accordance with HRS Section 103-39.</w:t>
      </w:r>
    </w:p>
    <w:p w:rsidR="006D6FAA" w:rsidRPr="00C929F4" w:rsidRDefault="006D6FAA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:rsidR="006D6FAA" w:rsidRPr="00C929F4" w:rsidRDefault="00811A21" w:rsidP="00C929F4">
      <w:pPr>
        <w:tabs>
          <w:tab w:val="left" w:pos="1080"/>
        </w:tabs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>103.07</w:t>
      </w:r>
      <w:r w:rsidRPr="00C929F4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Failure to Execute Contract.  </w:t>
      </w:r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Failure to execute the contract and file acceptable bonds shall be cause for the cancellation of the award in accordance with Subsection 103.06 - Execution of the Contract.  Also, the Contractor forfeits the proposal guaranty which becomes the property of the Department.  This is not a penalty, but liquidated damages sustained by the State.  The Department may then make award to the next lowest responsible bidder or the Department may </w:t>
      </w:r>
      <w:proofErr w:type="spellStart"/>
      <w:r w:rsidRPr="00C929F4">
        <w:rPr>
          <w:rFonts w:ascii="Arial" w:eastAsia="Arial" w:hAnsi="Arial" w:cs="Arial"/>
          <w:color w:val="000000"/>
          <w:sz w:val="24"/>
          <w:szCs w:val="24"/>
        </w:rPr>
        <w:t>readvertise</w:t>
      </w:r>
      <w:proofErr w:type="spellEnd"/>
      <w:r w:rsidRPr="00C929F4">
        <w:rPr>
          <w:rFonts w:ascii="Arial" w:eastAsia="Arial" w:hAnsi="Arial" w:cs="Arial"/>
          <w:color w:val="000000"/>
          <w:sz w:val="24"/>
          <w:szCs w:val="24"/>
        </w:rPr>
        <w:t xml:space="preserve"> and construct the work under contract.”</w:t>
      </w:r>
    </w:p>
    <w:p w:rsidR="006D6FAA" w:rsidRPr="00C929F4" w:rsidRDefault="006D6FAA" w:rsidP="00C929F4">
      <w:pPr>
        <w:tabs>
          <w:tab w:val="left" w:pos="1080"/>
        </w:tabs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</w:rPr>
      </w:pPr>
    </w:p>
    <w:p w:rsidR="006D6FAA" w:rsidRPr="00C929F4" w:rsidRDefault="006D6FAA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</w:p>
    <w:p w:rsidR="002E5C8D" w:rsidRDefault="002E5C8D" w:rsidP="00C929F4">
      <w:pPr>
        <w:tabs>
          <w:tab w:val="left" w:pos="3600"/>
        </w:tabs>
        <w:jc w:val="center"/>
        <w:textAlignment w:val="baseline"/>
        <w:rPr>
          <w:rFonts w:ascii="Arial" w:eastAsia="Arial" w:hAnsi="Arial" w:cs="Arial"/>
          <w:b/>
          <w:color w:val="000000"/>
          <w:spacing w:val="6"/>
          <w:sz w:val="24"/>
          <w:szCs w:val="24"/>
        </w:rPr>
      </w:pPr>
    </w:p>
    <w:p w:rsidR="002E5C8D" w:rsidRDefault="002E5C8D" w:rsidP="00C929F4">
      <w:pPr>
        <w:tabs>
          <w:tab w:val="left" w:pos="3600"/>
        </w:tabs>
        <w:jc w:val="center"/>
        <w:textAlignment w:val="baseline"/>
        <w:rPr>
          <w:rFonts w:ascii="Arial" w:eastAsia="Arial" w:hAnsi="Arial" w:cs="Arial"/>
          <w:b/>
          <w:color w:val="000000"/>
          <w:spacing w:val="6"/>
          <w:sz w:val="24"/>
          <w:szCs w:val="24"/>
        </w:rPr>
      </w:pPr>
    </w:p>
    <w:p w:rsidR="006D6FAA" w:rsidRPr="00C929F4" w:rsidRDefault="00811A21" w:rsidP="00C929F4">
      <w:pPr>
        <w:tabs>
          <w:tab w:val="left" w:pos="3600"/>
        </w:tabs>
        <w:jc w:val="center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bookmarkStart w:id="0" w:name="_GoBack"/>
      <w:bookmarkEnd w:id="0"/>
      <w:r w:rsidRPr="00C929F4">
        <w:rPr>
          <w:rFonts w:ascii="Arial" w:eastAsia="Arial" w:hAnsi="Arial" w:cs="Arial"/>
          <w:b/>
          <w:color w:val="000000"/>
          <w:spacing w:val="6"/>
          <w:sz w:val="24"/>
          <w:szCs w:val="24"/>
        </w:rPr>
        <w:t>END OF SECTION 103</w:t>
      </w:r>
    </w:p>
    <w:sectPr w:rsidR="006D6FAA" w:rsidRPr="00C929F4" w:rsidSect="002E5C8D"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54" w:rsidRDefault="00C12B54" w:rsidP="00AD6026">
      <w:r>
        <w:separator/>
      </w:r>
    </w:p>
  </w:endnote>
  <w:endnote w:type="continuationSeparator" w:id="0">
    <w:p w:rsidR="00C12B54" w:rsidRDefault="00C12B54" w:rsidP="00AD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26" w:rsidRDefault="00AD6026" w:rsidP="00AD6026">
    <w:pPr>
      <w:tabs>
        <w:tab w:val="center" w:pos="4320"/>
      </w:tabs>
      <w:spacing w:before="2" w:line="278" w:lineRule="exact"/>
      <w:jc w:val="center"/>
      <w:textAlignment w:val="baseline"/>
      <w:rPr>
        <w:rFonts w:ascii="Arial" w:eastAsia="Arial" w:hAnsi="Arial"/>
        <w:b/>
        <w:color w:val="000000"/>
        <w:spacing w:val="-1"/>
        <w:sz w:val="24"/>
      </w:rPr>
    </w:pPr>
    <w:r>
      <w:rPr>
        <w:rFonts w:ascii="Arial" w:eastAsia="Arial" w:hAnsi="Arial"/>
        <w:b/>
        <w:color w:val="000000"/>
        <w:spacing w:val="-1"/>
        <w:sz w:val="24"/>
      </w:rPr>
      <w:t>(Project No.)</w:t>
    </w:r>
  </w:p>
  <w:p w:rsidR="00AD6026" w:rsidRDefault="00AD6026" w:rsidP="00AD6026">
    <w:pPr>
      <w:tabs>
        <w:tab w:val="center" w:pos="4320"/>
        <w:tab w:val="right" w:pos="8640"/>
      </w:tabs>
      <w:spacing w:before="5" w:line="277" w:lineRule="exact"/>
      <w:textAlignment w:val="baseline"/>
      <w:rPr>
        <w:rFonts w:ascii="Arial" w:eastAsia="Arial" w:hAnsi="Arial"/>
        <w:b/>
        <w:color w:val="000000"/>
        <w:sz w:val="24"/>
      </w:rPr>
    </w:pPr>
    <w:r>
      <w:rPr>
        <w:rFonts w:ascii="Arial" w:eastAsia="Arial" w:hAnsi="Arial"/>
        <w:b/>
        <w:color w:val="000000"/>
        <w:sz w:val="24"/>
      </w:rPr>
      <w:tab/>
      <w:t>103-</w:t>
    </w:r>
    <w:r w:rsidR="00C929F4" w:rsidRPr="00C929F4">
      <w:rPr>
        <w:rFonts w:ascii="Arial" w:eastAsia="Arial" w:hAnsi="Arial"/>
        <w:b/>
        <w:color w:val="000000"/>
        <w:sz w:val="24"/>
      </w:rPr>
      <w:fldChar w:fldCharType="begin"/>
    </w:r>
    <w:r w:rsidR="00C929F4" w:rsidRPr="00C929F4">
      <w:rPr>
        <w:rFonts w:ascii="Arial" w:eastAsia="Arial" w:hAnsi="Arial"/>
        <w:b/>
        <w:color w:val="000000"/>
        <w:sz w:val="24"/>
      </w:rPr>
      <w:instrText xml:space="preserve"> PAGE   \* MERGEFORMAT </w:instrText>
    </w:r>
    <w:r w:rsidR="00C929F4" w:rsidRPr="00C929F4">
      <w:rPr>
        <w:rFonts w:ascii="Arial" w:eastAsia="Arial" w:hAnsi="Arial"/>
        <w:b/>
        <w:color w:val="000000"/>
        <w:sz w:val="24"/>
      </w:rPr>
      <w:fldChar w:fldCharType="separate"/>
    </w:r>
    <w:r w:rsidR="00C929F4" w:rsidRPr="00C929F4">
      <w:rPr>
        <w:rFonts w:ascii="Arial" w:eastAsia="Arial" w:hAnsi="Arial"/>
        <w:b/>
        <w:noProof/>
        <w:color w:val="000000"/>
        <w:sz w:val="24"/>
      </w:rPr>
      <w:t>1</w:t>
    </w:r>
    <w:r w:rsidR="00C929F4" w:rsidRPr="00C929F4">
      <w:rPr>
        <w:rFonts w:ascii="Arial" w:eastAsia="Arial" w:hAnsi="Arial"/>
        <w:b/>
        <w:noProof/>
        <w:color w:val="000000"/>
        <w:sz w:val="24"/>
      </w:rPr>
      <w:fldChar w:fldCharType="end"/>
    </w:r>
    <w:r>
      <w:rPr>
        <w:rFonts w:ascii="Arial" w:eastAsia="Arial" w:hAnsi="Arial"/>
        <w:b/>
        <w:color w:val="000000"/>
        <w:sz w:val="24"/>
      </w:rPr>
      <w:t>a</w:t>
    </w:r>
    <w:r>
      <w:rPr>
        <w:rFonts w:ascii="Arial" w:eastAsia="Arial" w:hAnsi="Arial"/>
        <w:b/>
        <w:color w:val="000000"/>
        <w:sz w:val="24"/>
      </w:rPr>
      <w:tab/>
    </w:r>
    <w:r w:rsidR="00BF2731">
      <w:rPr>
        <w:rFonts w:ascii="Arial" w:eastAsia="Arial" w:hAnsi="Arial"/>
        <w:b/>
        <w:color w:val="000000"/>
        <w:sz w:val="24"/>
      </w:rPr>
      <w:t>12/21</w:t>
    </w:r>
    <w:r w:rsidR="00CE5FA1">
      <w:rPr>
        <w:rFonts w:ascii="Arial" w:eastAsia="Arial" w:hAnsi="Arial"/>
        <w:b/>
        <w:color w:val="000000"/>
        <w:sz w:val="24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54" w:rsidRDefault="00C12B54" w:rsidP="00AD6026">
      <w:r>
        <w:separator/>
      </w:r>
    </w:p>
  </w:footnote>
  <w:footnote w:type="continuationSeparator" w:id="0">
    <w:p w:rsidR="00C12B54" w:rsidRDefault="00C12B54" w:rsidP="00AD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ABD"/>
    <w:multiLevelType w:val="hybridMultilevel"/>
    <w:tmpl w:val="287EC96C"/>
    <w:lvl w:ilvl="0" w:tplc="EEAA729C">
      <w:start w:val="1"/>
      <w:numFmt w:val="upperLetter"/>
      <w:lvlText w:val="(%1)"/>
      <w:lvlJc w:val="left"/>
      <w:pPr>
        <w:ind w:left="1080" w:hanging="360"/>
      </w:pPr>
      <w:rPr>
        <w:rFonts w:ascii="Arial" w:eastAsia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071E6"/>
    <w:multiLevelType w:val="hybridMultilevel"/>
    <w:tmpl w:val="66380550"/>
    <w:lvl w:ilvl="0" w:tplc="3BEC5E1A">
      <w:start w:val="1"/>
      <w:numFmt w:val="decimal"/>
      <w:lvlText w:val="%1."/>
      <w:lvlJc w:val="left"/>
      <w:pPr>
        <w:ind w:left="180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AA"/>
    <w:rsid w:val="000A6625"/>
    <w:rsid w:val="002E5C8D"/>
    <w:rsid w:val="00463503"/>
    <w:rsid w:val="0054586F"/>
    <w:rsid w:val="005B29B8"/>
    <w:rsid w:val="005F05DC"/>
    <w:rsid w:val="00601687"/>
    <w:rsid w:val="006D6FAA"/>
    <w:rsid w:val="00811A21"/>
    <w:rsid w:val="009E6227"/>
    <w:rsid w:val="00AD6026"/>
    <w:rsid w:val="00BF2731"/>
    <w:rsid w:val="00C12B54"/>
    <w:rsid w:val="00C929F4"/>
    <w:rsid w:val="00C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9C0A"/>
  <w15:docId w15:val="{9A72C0F8-B053-4EDA-9470-B549DEB4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026"/>
  </w:style>
  <w:style w:type="paragraph" w:styleId="Footer">
    <w:name w:val="footer"/>
    <w:basedOn w:val="Normal"/>
    <w:link w:val="FooterChar"/>
    <w:uiPriority w:val="99"/>
    <w:unhideWhenUsed/>
    <w:rsid w:val="00AD6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026"/>
  </w:style>
  <w:style w:type="paragraph" w:styleId="ListParagraph">
    <w:name w:val="List Paragraph"/>
    <w:basedOn w:val="Normal"/>
    <w:uiPriority w:val="34"/>
    <w:qFormat/>
    <w:rsid w:val="00AD602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11A21"/>
  </w:style>
  <w:style w:type="paragraph" w:styleId="BalloonText">
    <w:name w:val="Balloon Text"/>
    <w:basedOn w:val="Normal"/>
    <w:link w:val="BalloonTextChar"/>
    <w:uiPriority w:val="99"/>
    <w:semiHidden/>
    <w:unhideWhenUsed/>
    <w:rsid w:val="00C92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gov/lab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waii.gov/ta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waii.gov/dc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Kawamoto, Owen</dc:creator>
  <cp:lastModifiedBy>Kawamoto, Owen N</cp:lastModifiedBy>
  <cp:revision>3</cp:revision>
  <dcterms:created xsi:type="dcterms:W3CDTF">2018-12-20T19:27:00Z</dcterms:created>
  <dcterms:modified xsi:type="dcterms:W3CDTF">2018-12-20T19:39:00Z</dcterms:modified>
</cp:coreProperties>
</file>