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294C" w14:textId="77777777" w:rsidR="00A1266C" w:rsidRDefault="00A1266C">
      <w:pPr>
        <w:pStyle w:val="Title"/>
        <w:rPr>
          <w:rStyle w:val="LineNumber"/>
          <w:rFonts w:ascii="Arial" w:hAnsi="Arial"/>
        </w:rPr>
      </w:pPr>
      <w:r>
        <w:rPr>
          <w:rStyle w:val="LineNumber"/>
          <w:rFonts w:ascii="Arial" w:hAnsi="Arial"/>
        </w:rPr>
        <w:t>SECTION 105 – CONTROL OF WORK</w:t>
      </w:r>
    </w:p>
    <w:p w14:paraId="1A4A1650" w14:textId="77777777" w:rsidR="00A1266C" w:rsidRDefault="00A1266C">
      <w:pPr>
        <w:rPr>
          <w:rStyle w:val="LineNumber"/>
          <w:rFonts w:ascii="Arial" w:hAnsi="Arial" w:cs="Arial"/>
        </w:rPr>
      </w:pPr>
    </w:p>
    <w:p w14:paraId="2746BC67" w14:textId="77777777" w:rsidR="00A1266C" w:rsidRDefault="00A1266C">
      <w:pPr>
        <w:rPr>
          <w:rStyle w:val="LineNumber"/>
          <w:rFonts w:ascii="Arial" w:hAnsi="Arial" w:cs="Arial"/>
        </w:rPr>
      </w:pPr>
      <w:r>
        <w:rPr>
          <w:rFonts w:ascii="Arial" w:hAnsi="Arial"/>
        </w:rPr>
        <w:t>Make the following amendments to said Section:</w:t>
      </w:r>
    </w:p>
    <w:p w14:paraId="5FB67DE1" w14:textId="4F62C264" w:rsidR="00A1266C" w:rsidRDefault="00A1266C">
      <w:pPr>
        <w:pStyle w:val="Header"/>
        <w:tabs>
          <w:tab w:val="clear" w:pos="4320"/>
          <w:tab w:val="clear" w:pos="8640"/>
        </w:tabs>
        <w:rPr>
          <w:rStyle w:val="LineNumber"/>
          <w:rFonts w:ascii="Arial" w:hAnsi="Arial" w:cs="Arial"/>
        </w:rPr>
      </w:pPr>
    </w:p>
    <w:p w14:paraId="1AC84528" w14:textId="77777777" w:rsidR="0002308E" w:rsidRDefault="0002308E">
      <w:pPr>
        <w:pStyle w:val="Header"/>
        <w:tabs>
          <w:tab w:val="clear" w:pos="4320"/>
          <w:tab w:val="clear" w:pos="8640"/>
        </w:tabs>
        <w:rPr>
          <w:rStyle w:val="LineNumber"/>
          <w:rFonts w:ascii="Arial" w:hAnsi="Arial" w:cs="Arial"/>
        </w:rPr>
      </w:pPr>
    </w:p>
    <w:p w14:paraId="7707FEFF" w14:textId="77777777" w:rsidR="00A1266C" w:rsidRDefault="00A1266C">
      <w:pPr>
        <w:rPr>
          <w:rStyle w:val="LineNumber"/>
          <w:rFonts w:ascii="Arial" w:hAnsi="Arial" w:cs="Arial"/>
        </w:rPr>
      </w:pPr>
      <w:r>
        <w:rPr>
          <w:rStyle w:val="LineNumber"/>
          <w:rFonts w:ascii="Arial" w:hAnsi="Arial" w:cs="Arial"/>
          <w:b/>
          <w:bCs/>
        </w:rPr>
        <w:t>(I)</w:t>
      </w:r>
      <w:r>
        <w:rPr>
          <w:rStyle w:val="LineNumber"/>
          <w:rFonts w:ascii="Arial" w:hAnsi="Arial" w:cs="Arial"/>
          <w:b/>
          <w:bCs/>
        </w:rPr>
        <w:tab/>
      </w:r>
      <w:r>
        <w:rPr>
          <w:rStyle w:val="LineNumber"/>
          <w:rFonts w:ascii="Arial" w:hAnsi="Arial" w:cs="Arial"/>
        </w:rPr>
        <w:t xml:space="preserve">Amend </w:t>
      </w:r>
      <w:r>
        <w:rPr>
          <w:rStyle w:val="LineNumber"/>
          <w:rFonts w:ascii="Arial" w:hAnsi="Arial" w:cs="Arial"/>
          <w:b/>
          <w:bCs/>
        </w:rPr>
        <w:t xml:space="preserve">105.01 – Authority </w:t>
      </w:r>
      <w:r>
        <w:rPr>
          <w:rStyle w:val="LineNumber"/>
          <w:rFonts w:ascii="Arial" w:hAnsi="Arial" w:cs="Arial"/>
        </w:rPr>
        <w:t>to read as follows:</w:t>
      </w:r>
    </w:p>
    <w:p w14:paraId="08CE69D0" w14:textId="77777777" w:rsidR="00A1266C" w:rsidRDefault="00A1266C">
      <w:pPr>
        <w:pStyle w:val="Header"/>
        <w:tabs>
          <w:tab w:val="clear" w:pos="4320"/>
          <w:tab w:val="clear" w:pos="8640"/>
        </w:tabs>
        <w:rPr>
          <w:rStyle w:val="LineNumber"/>
          <w:rFonts w:ascii="Arial" w:hAnsi="Arial" w:cs="Arial"/>
        </w:rPr>
      </w:pPr>
    </w:p>
    <w:p w14:paraId="71BDF6B3" w14:textId="77777777" w:rsidR="00A1266C" w:rsidRDefault="00A1266C">
      <w:pPr>
        <w:tabs>
          <w:tab w:val="left" w:pos="1080"/>
        </w:tabs>
        <w:jc w:val="both"/>
        <w:rPr>
          <w:rStyle w:val="LineNumber"/>
          <w:rFonts w:ascii="Arial" w:hAnsi="Arial" w:cs="Arial"/>
          <w:b/>
          <w:bCs/>
        </w:rPr>
      </w:pPr>
      <w:r>
        <w:rPr>
          <w:rStyle w:val="Subsection"/>
          <w:b w:val="0"/>
          <w:bCs/>
        </w:rPr>
        <w:t>“</w:t>
      </w:r>
      <w:r>
        <w:rPr>
          <w:rStyle w:val="Subsection"/>
        </w:rPr>
        <w:t>105.01</w:t>
      </w:r>
      <w:r>
        <w:rPr>
          <w:rStyle w:val="LineNumber"/>
          <w:rFonts w:ascii="Arial" w:hAnsi="Arial" w:cs="Arial"/>
          <w:b/>
          <w:bCs/>
        </w:rPr>
        <w:tab/>
        <w:t>Authority.</w:t>
      </w:r>
    </w:p>
    <w:p w14:paraId="1FAE1C54" w14:textId="77777777" w:rsidR="00A1266C" w:rsidRDefault="00A1266C">
      <w:pPr>
        <w:tabs>
          <w:tab w:val="left" w:pos="1080"/>
        </w:tabs>
        <w:jc w:val="both"/>
        <w:rPr>
          <w:rStyle w:val="LineNumber"/>
          <w:rFonts w:ascii="Arial" w:hAnsi="Arial" w:cs="Arial"/>
          <w:b/>
          <w:bCs/>
        </w:rPr>
      </w:pPr>
    </w:p>
    <w:p w14:paraId="75817A2F" w14:textId="7A32E997" w:rsidR="00A1266C" w:rsidRDefault="00A1266C">
      <w:pPr>
        <w:tabs>
          <w:tab w:val="left" w:pos="1440"/>
        </w:tabs>
        <w:ind w:left="720"/>
        <w:jc w:val="both"/>
        <w:rPr>
          <w:rStyle w:val="LineNumber"/>
          <w:rFonts w:ascii="Arial" w:hAnsi="Arial" w:cs="Arial"/>
        </w:rPr>
      </w:pPr>
      <w:r>
        <w:rPr>
          <w:rStyle w:val="LineNumber"/>
          <w:rFonts w:ascii="Arial" w:hAnsi="Arial" w:cs="Arial"/>
          <w:b/>
          <w:bCs/>
        </w:rPr>
        <w:t>(A)</w:t>
      </w:r>
      <w:r>
        <w:rPr>
          <w:rStyle w:val="LineNumber"/>
          <w:rFonts w:ascii="Arial" w:hAnsi="Arial" w:cs="Arial"/>
          <w:b/>
          <w:bCs/>
        </w:rPr>
        <w:tab/>
        <w:t>Authority of the Engineer.</w:t>
      </w:r>
      <w:r>
        <w:rPr>
          <w:rStyle w:val="LineNumber"/>
          <w:rFonts w:ascii="Arial" w:hAnsi="Arial" w:cs="Arial"/>
        </w:rPr>
        <w:t xml:space="preserve">  The Engineer is the representative of the Director and has all the authority of the Director with respect to the contract.  The Engineer will make decisions on all questions that may arise regarding the contract, such as, but not limited to:</w:t>
      </w:r>
    </w:p>
    <w:p w14:paraId="03395BB5" w14:textId="77777777" w:rsidR="00A1266C" w:rsidRDefault="00A1266C">
      <w:pPr>
        <w:tabs>
          <w:tab w:val="left" w:pos="1440"/>
        </w:tabs>
        <w:ind w:left="720"/>
        <w:jc w:val="both"/>
        <w:rPr>
          <w:rFonts w:ascii="Arial" w:hAnsi="Arial" w:cs="Arial"/>
        </w:rPr>
      </w:pPr>
    </w:p>
    <w:p w14:paraId="4A7FE155" w14:textId="77777777" w:rsidR="00A1266C" w:rsidRPr="0002308E" w:rsidRDefault="00A1266C">
      <w:pPr>
        <w:tabs>
          <w:tab w:val="left" w:pos="2160"/>
        </w:tabs>
        <w:ind w:left="1440"/>
        <w:jc w:val="both"/>
        <w:rPr>
          <w:rStyle w:val="LineNumber"/>
          <w:rFonts w:ascii="Arial" w:hAnsi="Arial"/>
        </w:rPr>
      </w:pPr>
      <w:r>
        <w:rPr>
          <w:rFonts w:ascii="Arial" w:hAnsi="Arial" w:cs="Arial"/>
          <w:b/>
          <w:bCs/>
        </w:rPr>
        <w:t>(1)</w:t>
      </w:r>
      <w:r>
        <w:rPr>
          <w:rFonts w:ascii="Arial" w:hAnsi="Arial" w:cs="Arial"/>
        </w:rPr>
        <w:tab/>
      </w:r>
      <w:r w:rsidRPr="0002308E">
        <w:rPr>
          <w:rStyle w:val="LineNumber"/>
          <w:rFonts w:ascii="Arial" w:hAnsi="Arial"/>
        </w:rPr>
        <w:t>Interpretation of the contract documents.</w:t>
      </w:r>
    </w:p>
    <w:p w14:paraId="26F444A9" w14:textId="77777777" w:rsidR="00A1266C" w:rsidRPr="0002308E" w:rsidRDefault="00A1266C">
      <w:pPr>
        <w:tabs>
          <w:tab w:val="left" w:pos="2160"/>
        </w:tabs>
        <w:ind w:left="1440"/>
        <w:jc w:val="both"/>
        <w:rPr>
          <w:rStyle w:val="LineNumber"/>
          <w:rFonts w:ascii="Arial" w:hAnsi="Arial"/>
        </w:rPr>
      </w:pPr>
    </w:p>
    <w:p w14:paraId="03FADC84" w14:textId="6506A80F" w:rsidR="00A1266C" w:rsidRPr="0002308E" w:rsidRDefault="00A1266C">
      <w:pPr>
        <w:tabs>
          <w:tab w:val="left" w:pos="2160"/>
        </w:tabs>
        <w:ind w:left="1440"/>
        <w:jc w:val="both"/>
        <w:rPr>
          <w:rStyle w:val="LineNumber"/>
          <w:rFonts w:ascii="Arial" w:hAnsi="Arial"/>
        </w:rPr>
      </w:pPr>
      <w:r>
        <w:rPr>
          <w:rFonts w:ascii="Arial" w:hAnsi="Arial" w:cs="Arial"/>
          <w:b/>
          <w:bCs/>
        </w:rPr>
        <w:t>(2)</w:t>
      </w:r>
      <w:r>
        <w:rPr>
          <w:rFonts w:ascii="Arial" w:hAnsi="Arial" w:cs="Arial"/>
        </w:rPr>
        <w:tab/>
      </w:r>
      <w:r w:rsidRPr="0002308E">
        <w:rPr>
          <w:rStyle w:val="LineNumber"/>
          <w:rFonts w:ascii="Arial" w:hAnsi="Arial"/>
        </w:rPr>
        <w:t>Acceptability of the materials furnished</w:t>
      </w:r>
      <w:r w:rsidR="0002308E" w:rsidRPr="0002308E">
        <w:rPr>
          <w:rStyle w:val="LineNumber"/>
          <w:rFonts w:ascii="Arial" w:hAnsi="Arial"/>
        </w:rPr>
        <w:t>,</w:t>
      </w:r>
      <w:r w:rsidRPr="0002308E">
        <w:rPr>
          <w:rStyle w:val="LineNumber"/>
          <w:rFonts w:ascii="Arial" w:hAnsi="Arial"/>
        </w:rPr>
        <w:t xml:space="preserve"> and work performed.</w:t>
      </w:r>
    </w:p>
    <w:p w14:paraId="49EA749E" w14:textId="77777777" w:rsidR="00A1266C" w:rsidRDefault="00A1266C">
      <w:pPr>
        <w:tabs>
          <w:tab w:val="left" w:pos="2160"/>
        </w:tabs>
        <w:ind w:left="1440"/>
        <w:jc w:val="both"/>
        <w:rPr>
          <w:rFonts w:ascii="Arial" w:hAnsi="Arial" w:cs="Arial"/>
        </w:rPr>
      </w:pPr>
    </w:p>
    <w:p w14:paraId="4288A1DF" w14:textId="77777777" w:rsidR="00A1266C" w:rsidRPr="0002308E" w:rsidRDefault="00A1266C">
      <w:pPr>
        <w:tabs>
          <w:tab w:val="left" w:pos="2160"/>
        </w:tabs>
        <w:ind w:left="1440"/>
        <w:jc w:val="both"/>
        <w:rPr>
          <w:rStyle w:val="LineNumber"/>
          <w:rFonts w:ascii="Arial" w:hAnsi="Arial"/>
        </w:rPr>
      </w:pPr>
      <w:r>
        <w:rPr>
          <w:rFonts w:ascii="Arial" w:hAnsi="Arial" w:cs="Arial"/>
          <w:b/>
          <w:bCs/>
        </w:rPr>
        <w:t>(3)</w:t>
      </w:r>
      <w:r>
        <w:rPr>
          <w:rFonts w:ascii="Arial" w:hAnsi="Arial" w:cs="Arial"/>
        </w:rPr>
        <w:tab/>
      </w:r>
      <w:r w:rsidRPr="0002308E">
        <w:rPr>
          <w:rStyle w:val="LineNumber"/>
          <w:rFonts w:ascii="Arial" w:hAnsi="Arial"/>
        </w:rPr>
        <w:t>Manner of performance and rate of progress of the work.</w:t>
      </w:r>
    </w:p>
    <w:p w14:paraId="0EB6C500" w14:textId="77777777" w:rsidR="00A1266C" w:rsidRDefault="00A1266C">
      <w:pPr>
        <w:tabs>
          <w:tab w:val="left" w:pos="2160"/>
        </w:tabs>
        <w:ind w:left="1440"/>
        <w:jc w:val="both"/>
        <w:rPr>
          <w:rFonts w:ascii="Arial" w:hAnsi="Arial" w:cs="Arial"/>
        </w:rPr>
      </w:pPr>
    </w:p>
    <w:p w14:paraId="14B05470" w14:textId="77777777" w:rsidR="00A1266C" w:rsidRPr="0002308E" w:rsidRDefault="00A1266C">
      <w:pPr>
        <w:tabs>
          <w:tab w:val="left" w:pos="2160"/>
        </w:tabs>
        <w:ind w:left="1440"/>
        <w:jc w:val="both"/>
        <w:rPr>
          <w:rStyle w:val="LineNumber"/>
          <w:rFonts w:ascii="Arial" w:hAnsi="Arial"/>
        </w:rPr>
      </w:pPr>
      <w:r>
        <w:rPr>
          <w:rFonts w:ascii="Arial" w:hAnsi="Arial" w:cs="Arial"/>
          <w:b/>
          <w:bCs/>
        </w:rPr>
        <w:t>(4)</w:t>
      </w:r>
      <w:r>
        <w:rPr>
          <w:rFonts w:ascii="Arial" w:hAnsi="Arial" w:cs="Arial"/>
        </w:rPr>
        <w:tab/>
      </w:r>
      <w:r w:rsidRPr="0002308E">
        <w:rPr>
          <w:rStyle w:val="LineNumber"/>
          <w:rFonts w:ascii="Arial" w:hAnsi="Arial"/>
        </w:rPr>
        <w:t>Acceptable fulfillment of the contract on the part of the Contractor.</w:t>
      </w:r>
    </w:p>
    <w:p w14:paraId="4BA41272" w14:textId="77777777" w:rsidR="00A1266C" w:rsidRDefault="00A1266C">
      <w:pPr>
        <w:tabs>
          <w:tab w:val="left" w:pos="2160"/>
        </w:tabs>
        <w:ind w:left="1440"/>
        <w:jc w:val="both"/>
        <w:rPr>
          <w:rFonts w:ascii="Arial" w:hAnsi="Arial" w:cs="Arial"/>
        </w:rPr>
      </w:pPr>
    </w:p>
    <w:p w14:paraId="70647D5F" w14:textId="77777777" w:rsidR="00A1266C" w:rsidRPr="0002308E" w:rsidRDefault="00A1266C">
      <w:pPr>
        <w:tabs>
          <w:tab w:val="left" w:pos="2160"/>
        </w:tabs>
        <w:ind w:left="1440"/>
        <w:jc w:val="both"/>
        <w:rPr>
          <w:rStyle w:val="LineNumber"/>
          <w:rFonts w:ascii="Arial" w:hAnsi="Arial"/>
        </w:rPr>
      </w:pPr>
      <w:r>
        <w:rPr>
          <w:rFonts w:ascii="Arial" w:hAnsi="Arial" w:cs="Arial"/>
          <w:b/>
          <w:bCs/>
        </w:rPr>
        <w:t>(5)</w:t>
      </w:r>
      <w:r>
        <w:rPr>
          <w:rFonts w:ascii="Arial" w:hAnsi="Arial" w:cs="Arial"/>
        </w:rPr>
        <w:tab/>
      </w:r>
      <w:r w:rsidRPr="0002308E">
        <w:rPr>
          <w:rStyle w:val="LineNumber"/>
          <w:rFonts w:ascii="Arial" w:hAnsi="Arial"/>
        </w:rPr>
        <w:t>Compensation under the contract.</w:t>
      </w:r>
    </w:p>
    <w:p w14:paraId="5A2A9D2C" w14:textId="77777777" w:rsidR="00A1266C" w:rsidRDefault="00A1266C">
      <w:pPr>
        <w:tabs>
          <w:tab w:val="left" w:pos="2160"/>
        </w:tabs>
        <w:ind w:left="1440"/>
        <w:jc w:val="both"/>
        <w:rPr>
          <w:rFonts w:ascii="Arial" w:hAnsi="Arial" w:cs="Arial"/>
        </w:rPr>
      </w:pPr>
    </w:p>
    <w:p w14:paraId="2FDC7DF9" w14:textId="7A908E2B" w:rsidR="00A1266C" w:rsidRDefault="00A1266C" w:rsidP="0002308E">
      <w:pPr>
        <w:tabs>
          <w:tab w:val="left" w:pos="1440"/>
          <w:tab w:val="left" w:pos="2160"/>
        </w:tabs>
        <w:ind w:left="720" w:firstLine="720"/>
        <w:jc w:val="both"/>
        <w:rPr>
          <w:rFonts w:ascii="Arial" w:hAnsi="Arial" w:cs="Arial"/>
        </w:rPr>
      </w:pPr>
      <w:r>
        <w:rPr>
          <w:rFonts w:ascii="Arial" w:hAnsi="Arial" w:cs="Arial"/>
        </w:rPr>
        <w:t>The Engineer’s decisions on questions, claims, and disputes will be final and conclusive subject to Subsection 107.15 – Disputes and Claims.</w:t>
      </w:r>
    </w:p>
    <w:p w14:paraId="38D97CE5" w14:textId="77777777" w:rsidR="00A1266C" w:rsidRDefault="00A1266C" w:rsidP="0002308E">
      <w:pPr>
        <w:tabs>
          <w:tab w:val="left" w:pos="1440"/>
          <w:tab w:val="left" w:pos="2160"/>
        </w:tabs>
        <w:ind w:left="720" w:firstLine="720"/>
        <w:jc w:val="both"/>
        <w:rPr>
          <w:rFonts w:ascii="Arial" w:hAnsi="Arial" w:cs="Arial"/>
        </w:rPr>
      </w:pPr>
    </w:p>
    <w:p w14:paraId="0A9922F4" w14:textId="3DE6C625" w:rsidR="00A1266C" w:rsidRDefault="00A1266C" w:rsidP="0002308E">
      <w:pPr>
        <w:pStyle w:val="BodyTextIndent"/>
        <w:tabs>
          <w:tab w:val="clear" w:pos="720"/>
        </w:tabs>
        <w:ind w:firstLine="720"/>
        <w:rPr>
          <w:rStyle w:val="LineNumber"/>
          <w:rFonts w:ascii="Arial" w:hAnsi="Arial"/>
        </w:rPr>
      </w:pPr>
      <w:r>
        <w:rPr>
          <w:rStyle w:val="LineNumber"/>
          <w:rFonts w:ascii="Arial" w:hAnsi="Arial"/>
        </w:rPr>
        <w:t>The Engineer may delegate specific authority to act for the Engineer to a specific person or persons.  Such delegation of authority shall be established in writing and shall become effective upon delivery to the Contractor.</w:t>
      </w:r>
    </w:p>
    <w:p w14:paraId="2FDEA23D" w14:textId="77777777" w:rsidR="00A1266C" w:rsidRDefault="00A1266C">
      <w:pPr>
        <w:tabs>
          <w:tab w:val="left" w:pos="1440"/>
          <w:tab w:val="left" w:pos="2160"/>
        </w:tabs>
        <w:ind w:left="720"/>
        <w:jc w:val="both"/>
        <w:rPr>
          <w:rStyle w:val="LineNumber"/>
          <w:rFonts w:ascii="Arial" w:hAnsi="Arial" w:cs="Arial"/>
        </w:rPr>
      </w:pPr>
    </w:p>
    <w:p w14:paraId="0B02CF76" w14:textId="67E1C1B8" w:rsidR="00A1266C" w:rsidRPr="0002308E" w:rsidRDefault="00A1266C">
      <w:pPr>
        <w:tabs>
          <w:tab w:val="left" w:pos="1440"/>
          <w:tab w:val="left" w:pos="2160"/>
        </w:tabs>
        <w:ind w:left="720"/>
        <w:jc w:val="both"/>
        <w:rPr>
          <w:rStyle w:val="LineNumber"/>
          <w:rFonts w:ascii="Arial" w:hAnsi="Arial"/>
        </w:rPr>
      </w:pPr>
      <w:r>
        <w:rPr>
          <w:rFonts w:ascii="Arial" w:hAnsi="Arial" w:cs="Arial"/>
          <w:b/>
          <w:bCs/>
        </w:rPr>
        <w:t>(B)</w:t>
      </w:r>
      <w:r>
        <w:rPr>
          <w:rFonts w:ascii="Arial" w:hAnsi="Arial" w:cs="Arial"/>
        </w:rPr>
        <w:tab/>
      </w:r>
      <w:r>
        <w:rPr>
          <w:rFonts w:ascii="Arial" w:hAnsi="Arial" w:cs="Arial"/>
          <w:b/>
          <w:bCs/>
        </w:rPr>
        <w:t>Authority of the Inspectors.</w:t>
      </w:r>
      <w:r>
        <w:rPr>
          <w:rFonts w:ascii="Arial" w:hAnsi="Arial" w:cs="Arial"/>
        </w:rPr>
        <w:t xml:space="preserve">  </w:t>
      </w:r>
      <w:r w:rsidRPr="0002308E">
        <w:rPr>
          <w:rStyle w:val="LineNumber"/>
          <w:rFonts w:ascii="Arial" w:hAnsi="Arial"/>
        </w:rPr>
        <w:t xml:space="preserve">Inspectors, as a representative of the Engineer or other agencies, will inspect the work done and materials furnished.  Such inspection may extend to the preparation, </w:t>
      </w:r>
      <w:r w:rsidR="00811AC4" w:rsidRPr="0002308E">
        <w:rPr>
          <w:rStyle w:val="LineNumber"/>
          <w:rFonts w:ascii="Arial" w:hAnsi="Arial"/>
        </w:rPr>
        <w:t>fabrication,</w:t>
      </w:r>
      <w:r w:rsidRPr="0002308E">
        <w:rPr>
          <w:rStyle w:val="LineNumber"/>
          <w:rFonts w:ascii="Arial" w:hAnsi="Arial"/>
        </w:rPr>
        <w:t xml:space="preserve"> or manufacture of the materials to be used.  The Inspector does not have authority vested in the Engineer unless specifically delegated in writing.  The Inspector may not alter or waive the provisions of the contract, issue instructions contrary to the contract, or act as agent or representative of the Contractor.</w:t>
      </w:r>
    </w:p>
    <w:p w14:paraId="05DD986B" w14:textId="77777777" w:rsidR="00A1266C" w:rsidRDefault="00A1266C">
      <w:pPr>
        <w:tabs>
          <w:tab w:val="left" w:pos="1440"/>
          <w:tab w:val="left" w:pos="2160"/>
        </w:tabs>
        <w:ind w:left="720"/>
        <w:jc w:val="both"/>
        <w:rPr>
          <w:rFonts w:ascii="Arial" w:hAnsi="Arial" w:cs="Arial"/>
        </w:rPr>
      </w:pPr>
    </w:p>
    <w:p w14:paraId="212CFD57" w14:textId="7BE0E477" w:rsidR="00A1266C" w:rsidRDefault="00A1266C" w:rsidP="0002308E">
      <w:pPr>
        <w:tabs>
          <w:tab w:val="left" w:pos="1440"/>
          <w:tab w:val="left" w:pos="2160"/>
        </w:tabs>
        <w:ind w:left="720" w:firstLine="720"/>
        <w:jc w:val="both"/>
        <w:rPr>
          <w:rStyle w:val="LineNumber"/>
          <w:rFonts w:ascii="Arial" w:hAnsi="Arial" w:cs="Arial"/>
        </w:rPr>
      </w:pPr>
      <w:r>
        <w:rPr>
          <w:rStyle w:val="LineNumber"/>
          <w:rFonts w:ascii="Arial" w:hAnsi="Arial" w:cs="Arial"/>
        </w:rPr>
        <w:t>Failure of an Inspector at any time to reject non-conforming work shall not be considered a waiver of the State’s right to require work in strict conformity with the contract documents as a condition of final acceptance.</w:t>
      </w:r>
    </w:p>
    <w:p w14:paraId="55FFBC7C" w14:textId="77777777" w:rsidR="00A1266C" w:rsidRDefault="00A1266C">
      <w:pPr>
        <w:tabs>
          <w:tab w:val="left" w:pos="1440"/>
          <w:tab w:val="left" w:pos="2160"/>
        </w:tabs>
        <w:ind w:left="720"/>
        <w:jc w:val="both"/>
        <w:rPr>
          <w:rStyle w:val="LineNumber"/>
          <w:rFonts w:ascii="Arial" w:hAnsi="Arial" w:cs="Arial"/>
        </w:rPr>
      </w:pPr>
    </w:p>
    <w:p w14:paraId="4EEEBEA2" w14:textId="1C4B2261" w:rsidR="00A1266C" w:rsidRDefault="00A1266C">
      <w:pPr>
        <w:tabs>
          <w:tab w:val="left" w:pos="1440"/>
          <w:tab w:val="left" w:pos="2160"/>
        </w:tabs>
        <w:ind w:left="720"/>
        <w:jc w:val="both"/>
        <w:rPr>
          <w:rStyle w:val="LineNumber"/>
          <w:rFonts w:ascii="Arial" w:hAnsi="Arial" w:cs="Arial"/>
        </w:rPr>
      </w:pPr>
      <w:r>
        <w:rPr>
          <w:rStyle w:val="LineNumber"/>
          <w:rFonts w:ascii="Arial" w:hAnsi="Arial" w:cs="Arial"/>
          <w:b/>
          <w:bCs/>
        </w:rPr>
        <w:lastRenderedPageBreak/>
        <w:t>(C)</w:t>
      </w:r>
      <w:r>
        <w:rPr>
          <w:rStyle w:val="LineNumber"/>
          <w:rFonts w:ascii="Arial" w:hAnsi="Arial" w:cs="Arial"/>
          <w:b/>
          <w:bCs/>
        </w:rPr>
        <w:tab/>
        <w:t>Authority of the Consultant and Construction Management.</w:t>
      </w:r>
      <w:r>
        <w:rPr>
          <w:rStyle w:val="LineNumber"/>
          <w:rFonts w:ascii="Arial" w:hAnsi="Arial" w:cs="Arial"/>
        </w:rPr>
        <w:t xml:space="preserve">  The State may engage consultants and construction managements to perform duties in connection with the work.  Unless otherwise specified in writing to the Contractor, such retained consultants and construction managements shall have no greater authority than an Inspector.”</w:t>
      </w:r>
    </w:p>
    <w:p w14:paraId="381421AC" w14:textId="77777777" w:rsidR="00A1266C" w:rsidRDefault="00A1266C">
      <w:pPr>
        <w:tabs>
          <w:tab w:val="left" w:pos="720"/>
          <w:tab w:val="left" w:pos="1440"/>
          <w:tab w:val="left" w:pos="2160"/>
        </w:tabs>
        <w:jc w:val="both"/>
        <w:rPr>
          <w:rStyle w:val="Subsection"/>
          <w:color w:val="FFFFFF"/>
        </w:rPr>
      </w:pPr>
    </w:p>
    <w:p w14:paraId="775C8EA2" w14:textId="77777777" w:rsidR="00A1266C" w:rsidRDefault="00A1266C">
      <w:pPr>
        <w:tabs>
          <w:tab w:val="left" w:pos="720"/>
          <w:tab w:val="left" w:pos="1440"/>
          <w:tab w:val="left" w:pos="2160"/>
        </w:tabs>
        <w:jc w:val="both"/>
        <w:rPr>
          <w:rStyle w:val="Subsection"/>
          <w:color w:val="FFFFFF"/>
        </w:rPr>
      </w:pPr>
      <w:r w:rsidRPr="003D1743">
        <w:rPr>
          <w:rStyle w:val="Subsection"/>
        </w:rPr>
        <w:t>(II)</w:t>
      </w:r>
      <w:r w:rsidRPr="003D1743">
        <w:rPr>
          <w:rStyle w:val="Subsection"/>
        </w:rPr>
        <w:tab/>
      </w:r>
      <w:r>
        <w:rPr>
          <w:rStyle w:val="Subsection"/>
          <w:b w:val="0"/>
          <w:bCs/>
        </w:rPr>
        <w:t xml:space="preserve">Amend </w:t>
      </w:r>
      <w:r w:rsidRPr="003D1743">
        <w:rPr>
          <w:rStyle w:val="Subsection"/>
        </w:rPr>
        <w:t>Subsection 105.0</w:t>
      </w:r>
      <w:r>
        <w:rPr>
          <w:rStyle w:val="Subsection"/>
        </w:rPr>
        <w:t>2</w:t>
      </w:r>
      <w:r w:rsidRPr="003D1743">
        <w:rPr>
          <w:rStyle w:val="Subsection"/>
        </w:rPr>
        <w:t xml:space="preserve"> - </w:t>
      </w:r>
      <w:r>
        <w:rPr>
          <w:rStyle w:val="LineNumber"/>
          <w:rFonts w:ascii="Arial" w:hAnsi="Arial" w:cs="Arial"/>
          <w:b/>
        </w:rPr>
        <w:t>Submittals</w:t>
      </w:r>
      <w:r>
        <w:rPr>
          <w:rStyle w:val="LineNumber"/>
          <w:rFonts w:ascii="Arial" w:hAnsi="Arial" w:cs="Arial"/>
          <w:bCs/>
        </w:rPr>
        <w:t xml:space="preserve"> by revising the first paragraph from lines 52 to 61 to read as follows:</w:t>
      </w:r>
    </w:p>
    <w:p w14:paraId="34D8E42C" w14:textId="77777777" w:rsidR="00A1266C" w:rsidRDefault="00A1266C">
      <w:pPr>
        <w:tabs>
          <w:tab w:val="left" w:pos="720"/>
          <w:tab w:val="left" w:pos="1440"/>
          <w:tab w:val="left" w:pos="2160"/>
        </w:tabs>
        <w:jc w:val="both"/>
        <w:rPr>
          <w:rStyle w:val="Subsection"/>
          <w:color w:val="FFFFFF"/>
        </w:rPr>
      </w:pPr>
    </w:p>
    <w:p w14:paraId="7FB6479E" w14:textId="197B4C0C" w:rsidR="00A1266C" w:rsidRPr="0002308E" w:rsidRDefault="00A1266C" w:rsidP="0002308E">
      <w:pPr>
        <w:tabs>
          <w:tab w:val="left" w:pos="720"/>
          <w:tab w:val="left" w:pos="1080"/>
          <w:tab w:val="left" w:pos="1440"/>
          <w:tab w:val="left" w:pos="2160"/>
        </w:tabs>
        <w:jc w:val="both"/>
        <w:rPr>
          <w:rStyle w:val="LineNumber"/>
          <w:rFonts w:ascii="Arial" w:hAnsi="Arial" w:cs="Arial"/>
          <w:b/>
          <w:bCs/>
        </w:rPr>
      </w:pPr>
      <w:r w:rsidRPr="003D1743">
        <w:rPr>
          <w:rStyle w:val="Subsection"/>
          <w:b w:val="0"/>
          <w:bCs/>
        </w:rPr>
        <w:t>“</w:t>
      </w:r>
      <w:r>
        <w:rPr>
          <w:rStyle w:val="Subsection"/>
        </w:rPr>
        <w:t>105.02</w:t>
      </w:r>
      <w:r>
        <w:rPr>
          <w:rStyle w:val="LineNumber"/>
          <w:rFonts w:ascii="Arial" w:hAnsi="Arial" w:cs="Arial"/>
          <w:b/>
          <w:bCs/>
        </w:rPr>
        <w:tab/>
        <w:t>Submittals.</w:t>
      </w:r>
      <w:r>
        <w:rPr>
          <w:rStyle w:val="LineNumber"/>
          <w:rFonts w:ascii="Arial" w:hAnsi="Arial" w:cs="Arial"/>
        </w:rPr>
        <w:t xml:space="preserve">  </w:t>
      </w:r>
      <w:r w:rsidRPr="0002308E">
        <w:rPr>
          <w:rStyle w:val="LineNumber"/>
          <w:rFonts w:ascii="Arial" w:hAnsi="Arial" w:cs="Arial"/>
          <w:bCs/>
        </w:rPr>
        <w:t xml:space="preserve">The contract contains the description of various items that the Contractor must submit to the Engineer for review and acceptance.  The Contractor shall review all submittals for correctness, conformance with the requirements of the contract documents and completeness before submitting them to the Engineer.  The submittal shall indicate the contract items and specifications subsections for which the submittal is provided.  The submittal shall be legible and clearly indicate what portion of the submittal is being submitted for review.  </w:t>
      </w:r>
      <w:r w:rsidRPr="0002308E">
        <w:rPr>
          <w:rStyle w:val="LineNumber"/>
          <w:rFonts w:ascii="Arial" w:hAnsi="Arial"/>
        </w:rPr>
        <w:t>The Contractor shall provide six copies of the required submissions at the earliest possible date.”</w:t>
      </w:r>
    </w:p>
    <w:p w14:paraId="0EE67E39" w14:textId="77777777" w:rsidR="00A1266C" w:rsidRDefault="00A1266C">
      <w:pPr>
        <w:tabs>
          <w:tab w:val="left" w:pos="720"/>
          <w:tab w:val="left" w:pos="1440"/>
          <w:tab w:val="left" w:pos="2160"/>
        </w:tabs>
        <w:jc w:val="both"/>
        <w:rPr>
          <w:rStyle w:val="Subsection"/>
          <w:color w:val="FFFFFF"/>
        </w:rPr>
      </w:pPr>
      <w:r>
        <w:rPr>
          <w:rStyle w:val="Subsection"/>
          <w:color w:val="FFFFFF"/>
        </w:rPr>
        <w:t>5.01</w:t>
      </w:r>
    </w:p>
    <w:p w14:paraId="3B851411" w14:textId="77777777" w:rsidR="00A1266C" w:rsidRDefault="00A1266C">
      <w:pPr>
        <w:tabs>
          <w:tab w:val="left" w:pos="720"/>
          <w:tab w:val="left" w:pos="1440"/>
          <w:tab w:val="left" w:pos="2160"/>
        </w:tabs>
        <w:jc w:val="both"/>
        <w:rPr>
          <w:rStyle w:val="LineNumber"/>
          <w:rFonts w:ascii="Arial" w:hAnsi="Arial" w:cs="Arial"/>
          <w:bCs/>
        </w:rPr>
      </w:pPr>
      <w:r w:rsidRPr="003D1743">
        <w:rPr>
          <w:rStyle w:val="Subsection"/>
        </w:rPr>
        <w:t>(I</w:t>
      </w:r>
      <w:r>
        <w:rPr>
          <w:rStyle w:val="Subsection"/>
        </w:rPr>
        <w:t>I</w:t>
      </w:r>
      <w:r w:rsidRPr="003D1743">
        <w:rPr>
          <w:rStyle w:val="Subsection"/>
        </w:rPr>
        <w:t>I)</w:t>
      </w:r>
      <w:r w:rsidRPr="003D1743">
        <w:rPr>
          <w:rStyle w:val="Subsection"/>
        </w:rPr>
        <w:tab/>
      </w:r>
      <w:r>
        <w:rPr>
          <w:rStyle w:val="Subsection"/>
          <w:b w:val="0"/>
          <w:bCs/>
        </w:rPr>
        <w:t xml:space="preserve">Amend </w:t>
      </w:r>
      <w:r w:rsidRPr="003D1743">
        <w:rPr>
          <w:rStyle w:val="Subsection"/>
        </w:rPr>
        <w:t xml:space="preserve">Subsection 105.08 (A) - </w:t>
      </w:r>
      <w:r>
        <w:rPr>
          <w:rStyle w:val="LineNumber"/>
          <w:rFonts w:ascii="Arial" w:hAnsi="Arial" w:cs="Arial"/>
          <w:b/>
        </w:rPr>
        <w:t>Furnishing Drawings and Special Provisions</w:t>
      </w:r>
      <w:r>
        <w:rPr>
          <w:rStyle w:val="LineNumber"/>
          <w:rFonts w:ascii="Arial" w:hAnsi="Arial" w:cs="Arial"/>
          <w:bCs/>
        </w:rPr>
        <w:t xml:space="preserve"> to read as follows:</w:t>
      </w:r>
    </w:p>
    <w:p w14:paraId="7B5FB553" w14:textId="77777777" w:rsidR="00A1266C" w:rsidRPr="003D1743" w:rsidRDefault="00A1266C">
      <w:pPr>
        <w:tabs>
          <w:tab w:val="left" w:pos="720"/>
          <w:tab w:val="left" w:pos="1440"/>
          <w:tab w:val="left" w:pos="2160"/>
        </w:tabs>
        <w:jc w:val="both"/>
        <w:rPr>
          <w:rStyle w:val="Subsection"/>
          <w:b w:val="0"/>
          <w:bCs/>
        </w:rPr>
      </w:pPr>
    </w:p>
    <w:p w14:paraId="21BC3999" w14:textId="11C76D1E" w:rsidR="00A1266C" w:rsidRPr="002127DE" w:rsidRDefault="00A1266C">
      <w:pPr>
        <w:tabs>
          <w:tab w:val="left" w:pos="720"/>
          <w:tab w:val="left" w:pos="1440"/>
          <w:tab w:val="left" w:pos="2160"/>
        </w:tabs>
        <w:ind w:left="720"/>
        <w:jc w:val="both"/>
        <w:rPr>
          <w:rStyle w:val="LineNumber"/>
          <w:rFonts w:ascii="Arial" w:hAnsi="Arial" w:cs="Arial"/>
          <w:bCs/>
          <w:color w:val="000000" w:themeColor="text1"/>
        </w:rPr>
      </w:pPr>
      <w:r>
        <w:rPr>
          <w:rStyle w:val="LineNumber"/>
          <w:rFonts w:ascii="Arial" w:hAnsi="Arial" w:cs="Arial"/>
          <w:bCs/>
        </w:rPr>
        <w:t>“</w:t>
      </w:r>
      <w:r>
        <w:rPr>
          <w:rStyle w:val="LineNumber"/>
          <w:rFonts w:ascii="Arial" w:hAnsi="Arial" w:cs="Arial"/>
          <w:b/>
        </w:rPr>
        <w:t>(A)</w:t>
      </w:r>
      <w:r>
        <w:rPr>
          <w:rStyle w:val="LineNumber"/>
          <w:rFonts w:ascii="Arial" w:hAnsi="Arial" w:cs="Arial"/>
          <w:b/>
        </w:rPr>
        <w:tab/>
        <w:t>Furnishing Drawings and Special Provisions.</w:t>
      </w:r>
      <w:r>
        <w:rPr>
          <w:rStyle w:val="LineNumber"/>
          <w:rFonts w:ascii="Arial" w:hAnsi="Arial" w:cs="Arial"/>
          <w:bCs/>
        </w:rPr>
        <w:t xml:space="preserve">  </w:t>
      </w:r>
      <w:r w:rsidRPr="002127DE">
        <w:rPr>
          <w:rStyle w:val="LineNumber"/>
          <w:rFonts w:ascii="Arial" w:hAnsi="Arial" w:cs="Arial"/>
          <w:bCs/>
          <w:color w:val="000000" w:themeColor="text1"/>
        </w:rPr>
        <w:t xml:space="preserve">The State will furnish the Contractor </w:t>
      </w:r>
      <w:r w:rsidR="0064306D" w:rsidRPr="002127DE">
        <w:rPr>
          <w:rStyle w:val="LineNumber"/>
          <w:rFonts w:ascii="Arial" w:hAnsi="Arial" w:cs="Arial"/>
          <w:bCs/>
          <w:color w:val="000000" w:themeColor="text1"/>
        </w:rPr>
        <w:t>an electronic</w:t>
      </w:r>
      <w:r w:rsidRPr="002127DE">
        <w:rPr>
          <w:rStyle w:val="LineNumber"/>
          <w:rFonts w:ascii="Arial" w:hAnsi="Arial" w:cs="Arial"/>
          <w:bCs/>
          <w:color w:val="000000" w:themeColor="text1"/>
        </w:rPr>
        <w:t xml:space="preserve"> set of the special provisions</w:t>
      </w:r>
      <w:r w:rsidR="0064306D" w:rsidRPr="002127DE">
        <w:rPr>
          <w:rStyle w:val="LineNumber"/>
          <w:rFonts w:ascii="Arial" w:hAnsi="Arial" w:cs="Arial"/>
          <w:bCs/>
          <w:color w:val="000000" w:themeColor="text1"/>
        </w:rPr>
        <w:t xml:space="preserve"> and plans</w:t>
      </w:r>
      <w:r w:rsidRPr="002127DE">
        <w:rPr>
          <w:rStyle w:val="LineNumber"/>
          <w:rFonts w:ascii="Arial" w:hAnsi="Arial" w:cs="Arial"/>
          <w:bCs/>
          <w:color w:val="000000" w:themeColor="text1"/>
        </w:rPr>
        <w:t>.”</w:t>
      </w:r>
    </w:p>
    <w:p w14:paraId="4CFA7394" w14:textId="77777777" w:rsidR="00D17523" w:rsidRDefault="00D17523">
      <w:pPr>
        <w:tabs>
          <w:tab w:val="left" w:pos="720"/>
          <w:tab w:val="left" w:pos="1440"/>
          <w:tab w:val="left" w:pos="2160"/>
        </w:tabs>
        <w:ind w:left="720"/>
        <w:jc w:val="both"/>
        <w:rPr>
          <w:rStyle w:val="LineNumber"/>
          <w:rFonts w:ascii="Arial" w:hAnsi="Arial" w:cs="Arial"/>
          <w:bCs/>
        </w:rPr>
      </w:pPr>
    </w:p>
    <w:p w14:paraId="3F30DC2B" w14:textId="77777777" w:rsidR="00D17523" w:rsidRPr="00662B49" w:rsidRDefault="00D17523" w:rsidP="00D17523">
      <w:pPr>
        <w:tabs>
          <w:tab w:val="left" w:pos="720"/>
          <w:tab w:val="left" w:pos="1440"/>
          <w:tab w:val="left" w:pos="2160"/>
        </w:tabs>
        <w:jc w:val="both"/>
        <w:rPr>
          <w:rStyle w:val="LineNumber"/>
          <w:rFonts w:ascii="Arial" w:hAnsi="Arial" w:cs="Arial"/>
          <w:bCs/>
        </w:rPr>
      </w:pPr>
      <w:r>
        <w:rPr>
          <w:rStyle w:val="LineNumber"/>
          <w:rFonts w:ascii="Arial" w:hAnsi="Arial" w:cs="Arial"/>
          <w:b/>
        </w:rPr>
        <w:t>(I</w:t>
      </w:r>
      <w:r w:rsidRPr="0025609A">
        <w:rPr>
          <w:rStyle w:val="LineNumber"/>
          <w:rFonts w:ascii="Arial" w:hAnsi="Arial" w:cs="Arial"/>
          <w:b/>
        </w:rPr>
        <w:t>V)</w:t>
      </w:r>
      <w:r w:rsidRPr="0025609A">
        <w:rPr>
          <w:rStyle w:val="LineNumber"/>
          <w:rFonts w:ascii="Arial" w:hAnsi="Arial" w:cs="Arial"/>
          <w:b/>
        </w:rPr>
        <w:tab/>
      </w:r>
      <w:r w:rsidRPr="00D17523">
        <w:rPr>
          <w:rStyle w:val="LineNumber"/>
          <w:rFonts w:ascii="Arial" w:hAnsi="Arial" w:cs="Arial"/>
          <w:bCs/>
        </w:rPr>
        <w:t xml:space="preserve">Amend </w:t>
      </w:r>
      <w:r w:rsidRPr="00D17523">
        <w:rPr>
          <w:rStyle w:val="LineNumber"/>
          <w:rFonts w:ascii="Arial" w:hAnsi="Arial" w:cs="Arial"/>
          <w:b/>
        </w:rPr>
        <w:t>105.11 – Inspection of the Work and Materials</w:t>
      </w:r>
      <w:r w:rsidRPr="00662B49">
        <w:rPr>
          <w:rStyle w:val="LineNumber"/>
          <w:rFonts w:ascii="Arial" w:hAnsi="Arial" w:cs="Arial"/>
          <w:bCs/>
        </w:rPr>
        <w:t xml:space="preserve"> by adding the following paragraph after line 366:</w:t>
      </w:r>
    </w:p>
    <w:p w14:paraId="507B2A92" w14:textId="77777777" w:rsidR="00D17523" w:rsidRPr="00662B49" w:rsidRDefault="00D17523" w:rsidP="00D17523">
      <w:pPr>
        <w:tabs>
          <w:tab w:val="left" w:pos="720"/>
          <w:tab w:val="left" w:pos="1440"/>
          <w:tab w:val="left" w:pos="2160"/>
        </w:tabs>
        <w:jc w:val="both"/>
        <w:rPr>
          <w:rStyle w:val="LineNumber"/>
          <w:rFonts w:ascii="Arial" w:hAnsi="Arial" w:cs="Arial"/>
          <w:bCs/>
        </w:rPr>
      </w:pPr>
    </w:p>
    <w:p w14:paraId="201D11C9" w14:textId="0D2C936C" w:rsidR="00D17523" w:rsidRPr="0025609A" w:rsidRDefault="00D17523" w:rsidP="0002308E">
      <w:pPr>
        <w:pStyle w:val="BodyTextIndent"/>
        <w:ind w:firstLine="720"/>
        <w:rPr>
          <w:rStyle w:val="LineNumber"/>
          <w:rFonts w:ascii="Arial" w:hAnsi="Arial"/>
          <w:bCs/>
        </w:rPr>
      </w:pPr>
      <w:r w:rsidRPr="0002308E">
        <w:rPr>
          <w:rStyle w:val="LineNumber"/>
          <w:rFonts w:ascii="Arial" w:hAnsi="Arial"/>
          <w:bCs/>
        </w:rPr>
        <w:t>All materials generated within the project site are considered solid waste.  Solid waste shall be disposed of in accordance with Hawaii State Law HAR 11-58.1 and HRS Section 342H to the facility listed on the Solid Waste Disclosure Form.  The contractor shall request and receive written approval from the Engineer before reusing any material in any other way than disposal.</w:t>
      </w:r>
    </w:p>
    <w:p w14:paraId="16401155" w14:textId="77777777" w:rsidR="00A1266C" w:rsidRDefault="00A1266C">
      <w:pPr>
        <w:tabs>
          <w:tab w:val="left" w:pos="720"/>
          <w:tab w:val="left" w:pos="1440"/>
          <w:tab w:val="left" w:pos="2160"/>
        </w:tabs>
        <w:jc w:val="both"/>
        <w:rPr>
          <w:rStyle w:val="LineNumber"/>
          <w:rFonts w:ascii="Arial" w:hAnsi="Arial" w:cs="Arial"/>
          <w:bCs/>
        </w:rPr>
      </w:pPr>
    </w:p>
    <w:p w14:paraId="32E59E08" w14:textId="77777777" w:rsidR="00A1266C" w:rsidRDefault="00A1266C">
      <w:pPr>
        <w:tabs>
          <w:tab w:val="left" w:pos="720"/>
          <w:tab w:val="left" w:pos="1440"/>
          <w:tab w:val="left" w:pos="2160"/>
        </w:tabs>
        <w:jc w:val="both"/>
        <w:rPr>
          <w:rStyle w:val="LineNumber"/>
          <w:rFonts w:ascii="Arial" w:hAnsi="Arial" w:cs="Arial"/>
          <w:bCs/>
        </w:rPr>
      </w:pPr>
      <w:r>
        <w:rPr>
          <w:rStyle w:val="Subsection"/>
        </w:rPr>
        <w:t>(V)</w:t>
      </w:r>
      <w:r>
        <w:rPr>
          <w:rStyle w:val="Subsection"/>
        </w:rPr>
        <w:tab/>
      </w:r>
      <w:r>
        <w:rPr>
          <w:rStyle w:val="Subsection"/>
          <w:b w:val="0"/>
          <w:bCs/>
        </w:rPr>
        <w:t xml:space="preserve">Amend </w:t>
      </w:r>
      <w:r>
        <w:rPr>
          <w:rStyle w:val="Subsection"/>
        </w:rPr>
        <w:t xml:space="preserve">Subsection 105.14(D) – </w:t>
      </w:r>
      <w:r>
        <w:rPr>
          <w:rStyle w:val="LineNumber"/>
          <w:rFonts w:ascii="Arial" w:hAnsi="Arial" w:cs="Arial"/>
          <w:b/>
        </w:rPr>
        <w:t xml:space="preserve">No Designated Storage Area </w:t>
      </w:r>
      <w:r w:rsidRPr="003D1743">
        <w:rPr>
          <w:rStyle w:val="LineNumber"/>
          <w:rFonts w:ascii="Arial" w:hAnsi="Arial" w:cs="Arial"/>
          <w:bCs/>
        </w:rPr>
        <w:t>from lines 421 to 432</w:t>
      </w:r>
      <w:r>
        <w:rPr>
          <w:rStyle w:val="LineNumber"/>
          <w:rFonts w:ascii="Arial" w:hAnsi="Arial" w:cs="Arial"/>
          <w:bCs/>
        </w:rPr>
        <w:t xml:space="preserve"> to read as follows:</w:t>
      </w:r>
    </w:p>
    <w:p w14:paraId="2DEC5C91" w14:textId="77777777" w:rsidR="00A1266C" w:rsidRDefault="00A1266C">
      <w:pPr>
        <w:tabs>
          <w:tab w:val="left" w:pos="720"/>
          <w:tab w:val="left" w:pos="1440"/>
          <w:tab w:val="left" w:pos="2160"/>
        </w:tabs>
        <w:jc w:val="both"/>
        <w:rPr>
          <w:rStyle w:val="LineNumber"/>
          <w:rFonts w:ascii="Arial" w:hAnsi="Arial" w:cs="Arial"/>
          <w:bCs/>
        </w:rPr>
      </w:pPr>
    </w:p>
    <w:p w14:paraId="5FA80156" w14:textId="59EFF75F" w:rsidR="00A1266C" w:rsidRPr="0002308E" w:rsidRDefault="00A1266C">
      <w:pPr>
        <w:tabs>
          <w:tab w:val="left" w:pos="1440"/>
        </w:tabs>
        <w:ind w:left="720"/>
        <w:jc w:val="both"/>
        <w:rPr>
          <w:rStyle w:val="LineNumber"/>
          <w:rFonts w:ascii="Arial" w:hAnsi="Arial" w:cs="Arial"/>
          <w:bCs/>
        </w:rPr>
      </w:pPr>
      <w:r w:rsidRPr="003D1743">
        <w:rPr>
          <w:rFonts w:ascii="Arial" w:hAnsi="Arial"/>
        </w:rPr>
        <w:t>“</w:t>
      </w:r>
      <w:r>
        <w:rPr>
          <w:rFonts w:ascii="Arial" w:hAnsi="Arial"/>
          <w:b/>
          <w:bCs/>
        </w:rPr>
        <w:t>(D)</w:t>
      </w:r>
      <w:r>
        <w:rPr>
          <w:rFonts w:ascii="Arial" w:hAnsi="Arial"/>
          <w:b/>
          <w:bCs/>
        </w:rPr>
        <w:tab/>
        <w:t>No Designated Storage Area.</w:t>
      </w:r>
      <w:r>
        <w:rPr>
          <w:rFonts w:ascii="Arial" w:hAnsi="Arial"/>
        </w:rPr>
        <w:t xml:space="preserve">  </w:t>
      </w:r>
      <w:r w:rsidRPr="0002308E">
        <w:rPr>
          <w:rStyle w:val="LineNumber"/>
          <w:rFonts w:ascii="Arial" w:hAnsi="Arial" w:cs="Arial"/>
          <w:bCs/>
        </w:rPr>
        <w:t>If no storage area is designated within the contract documents, materials and equipment may be stored anywhere within the State highway right-of-way, provided such storage and access to and from such site, within the sole discretion of the Engineer, does not create a public or traffic hazard or an impediment to the movement of traffic.”</w:t>
      </w:r>
    </w:p>
    <w:p w14:paraId="4B483834" w14:textId="77777777" w:rsidR="00280B4A" w:rsidRDefault="00280B4A" w:rsidP="004143B4">
      <w:pPr>
        <w:tabs>
          <w:tab w:val="left" w:pos="720"/>
          <w:tab w:val="left" w:pos="1440"/>
          <w:tab w:val="left" w:pos="2160"/>
        </w:tabs>
        <w:jc w:val="both"/>
        <w:rPr>
          <w:rFonts w:ascii="Arial" w:hAnsi="Arial"/>
        </w:rPr>
      </w:pPr>
    </w:p>
    <w:p w14:paraId="791C3C06" w14:textId="79ACCF1F" w:rsidR="00F3695F" w:rsidRDefault="00F3695F" w:rsidP="00F3695F">
      <w:pPr>
        <w:tabs>
          <w:tab w:val="left" w:pos="720"/>
          <w:tab w:val="left" w:pos="1440"/>
          <w:tab w:val="left" w:pos="2160"/>
        </w:tabs>
        <w:jc w:val="both"/>
        <w:rPr>
          <w:rStyle w:val="LineNumber"/>
          <w:rFonts w:ascii="Arial" w:hAnsi="Arial" w:cs="Arial"/>
        </w:rPr>
      </w:pPr>
      <w:r>
        <w:rPr>
          <w:rStyle w:val="LineNumber"/>
          <w:rFonts w:ascii="Arial" w:hAnsi="Arial" w:cs="Arial"/>
          <w:b/>
          <w:bCs/>
        </w:rPr>
        <w:lastRenderedPageBreak/>
        <w:t>(VI)</w:t>
      </w:r>
      <w:r>
        <w:rPr>
          <w:rStyle w:val="LineNumber"/>
          <w:rFonts w:ascii="Arial" w:hAnsi="Arial" w:cs="Arial"/>
        </w:rPr>
        <w:tab/>
        <w:t xml:space="preserve">Amend </w:t>
      </w:r>
      <w:r w:rsidRPr="009755B1">
        <w:rPr>
          <w:rStyle w:val="LineNumber"/>
          <w:rFonts w:ascii="Arial" w:hAnsi="Arial" w:cs="Arial"/>
          <w:b/>
          <w:bCs/>
        </w:rPr>
        <w:t xml:space="preserve">Subsection 105.16(B) – Substituting Subcontractors </w:t>
      </w:r>
      <w:r>
        <w:rPr>
          <w:rStyle w:val="LineNumber"/>
          <w:rFonts w:ascii="Arial" w:hAnsi="Arial" w:cs="Arial"/>
        </w:rPr>
        <w:t>from line 487 to line 494 to read:</w:t>
      </w:r>
    </w:p>
    <w:p w14:paraId="4B37BBBF" w14:textId="77777777" w:rsidR="00F3695F" w:rsidRPr="009755B1" w:rsidRDefault="00F3695F" w:rsidP="00F3695F">
      <w:pPr>
        <w:tabs>
          <w:tab w:val="left" w:pos="720"/>
          <w:tab w:val="left" w:pos="1440"/>
          <w:tab w:val="left" w:pos="2160"/>
        </w:tabs>
        <w:jc w:val="both"/>
        <w:rPr>
          <w:rStyle w:val="LineNumber"/>
          <w:rFonts w:ascii="Arial" w:hAnsi="Arial" w:cs="Arial"/>
        </w:rPr>
      </w:pPr>
    </w:p>
    <w:p w14:paraId="342A7B1C" w14:textId="6B0A4E91" w:rsidR="00F3695F" w:rsidRPr="001331C6" w:rsidRDefault="00F3695F" w:rsidP="00F3695F">
      <w:pPr>
        <w:ind w:left="720"/>
        <w:jc w:val="both"/>
        <w:rPr>
          <w:rStyle w:val="LineNumber"/>
          <w:rFonts w:ascii="Arial" w:hAnsi="Arial" w:cs="Arial"/>
          <w:bCs/>
          <w:color w:val="000000"/>
        </w:rPr>
      </w:pPr>
      <w:r>
        <w:rPr>
          <w:rStyle w:val="LineNumber"/>
          <w:rFonts w:ascii="Arial" w:hAnsi="Arial" w:cs="Arial"/>
          <w:b/>
        </w:rPr>
        <w:t>(B)</w:t>
      </w:r>
      <w:r>
        <w:rPr>
          <w:rStyle w:val="LineNumber"/>
          <w:rFonts w:ascii="Arial" w:hAnsi="Arial" w:cs="Arial"/>
          <w:b/>
        </w:rPr>
        <w:tab/>
        <w:t>Substituting Subcontractors.</w:t>
      </w:r>
      <w:r>
        <w:rPr>
          <w:rStyle w:val="LineNumber"/>
          <w:rFonts w:ascii="Arial" w:hAnsi="Arial" w:cs="Arial"/>
          <w:bCs/>
        </w:rPr>
        <w:t xml:space="preserve">  Under HRS Chapter 103D-302, the </w:t>
      </w:r>
      <w:r w:rsidRPr="001331C6">
        <w:rPr>
          <w:rStyle w:val="LineNumber"/>
          <w:rFonts w:ascii="Arial" w:hAnsi="Arial" w:cs="Arial"/>
          <w:bCs/>
          <w:color w:val="000000"/>
        </w:rPr>
        <w:t xml:space="preserve">Contractor is required to list the names of persons or firms to be engaged by the Contractor as a subcontractor or joint contractor in the performance of the contract. </w:t>
      </w:r>
      <w:r w:rsidR="00583B22" w:rsidRPr="00DC1B7C">
        <w:rPr>
          <w:rStyle w:val="LineNumber"/>
          <w:rFonts w:ascii="Arial" w:hAnsi="Arial" w:cs="Arial"/>
          <w:bCs/>
          <w:color w:val="000000"/>
        </w:rPr>
        <w:t xml:space="preserve"> </w:t>
      </w:r>
      <w:r w:rsidRPr="001331C6">
        <w:rPr>
          <w:rStyle w:val="LineNumber"/>
          <w:rFonts w:ascii="Arial" w:hAnsi="Arial" w:cs="Arial"/>
          <w:bCs/>
          <w:color w:val="000000"/>
        </w:rPr>
        <w:t>No subcontractor may be added or deleted, unless authorized by the Engineer.  Substitutions will be allowed only if</w:t>
      </w:r>
      <w:r>
        <w:rPr>
          <w:rStyle w:val="LineNumber"/>
          <w:rFonts w:ascii="Arial" w:hAnsi="Arial" w:cs="Arial"/>
          <w:bCs/>
          <w:color w:val="000000"/>
        </w:rPr>
        <w:t xml:space="preserve"> the subcontractor</w:t>
      </w:r>
      <w:r w:rsidRPr="001331C6">
        <w:rPr>
          <w:rStyle w:val="LineNumber"/>
          <w:rFonts w:ascii="Arial" w:hAnsi="Arial" w:cs="Arial"/>
          <w:bCs/>
          <w:color w:val="000000"/>
        </w:rPr>
        <w:t>:</w:t>
      </w:r>
    </w:p>
    <w:p w14:paraId="46623F2E" w14:textId="325A914A" w:rsidR="00A1266C" w:rsidRDefault="00A1266C">
      <w:pPr>
        <w:tabs>
          <w:tab w:val="left" w:pos="720"/>
          <w:tab w:val="left" w:pos="1440"/>
          <w:tab w:val="left" w:pos="2160"/>
        </w:tabs>
        <w:jc w:val="both"/>
        <w:rPr>
          <w:rStyle w:val="LineNumber"/>
          <w:rFonts w:ascii="Arial" w:hAnsi="Arial" w:cs="Arial"/>
        </w:rPr>
      </w:pPr>
    </w:p>
    <w:p w14:paraId="5784A13E" w14:textId="5C225055" w:rsidR="0002308E" w:rsidRDefault="0002308E">
      <w:pPr>
        <w:tabs>
          <w:tab w:val="left" w:pos="720"/>
          <w:tab w:val="left" w:pos="1440"/>
          <w:tab w:val="left" w:pos="2160"/>
        </w:tabs>
        <w:jc w:val="both"/>
        <w:rPr>
          <w:rStyle w:val="LineNumber"/>
          <w:rFonts w:ascii="Arial" w:hAnsi="Arial" w:cs="Arial"/>
        </w:rPr>
      </w:pPr>
    </w:p>
    <w:p w14:paraId="2B70AE10" w14:textId="4CD53F39" w:rsidR="0002308E" w:rsidRDefault="0002308E">
      <w:pPr>
        <w:tabs>
          <w:tab w:val="left" w:pos="720"/>
          <w:tab w:val="left" w:pos="1440"/>
          <w:tab w:val="left" w:pos="2160"/>
        </w:tabs>
        <w:jc w:val="both"/>
        <w:rPr>
          <w:rStyle w:val="LineNumber"/>
          <w:rFonts w:ascii="Arial" w:hAnsi="Arial" w:cs="Arial"/>
        </w:rPr>
      </w:pPr>
    </w:p>
    <w:p w14:paraId="2BE73EDB" w14:textId="77777777" w:rsidR="0002308E" w:rsidRDefault="0002308E">
      <w:pPr>
        <w:tabs>
          <w:tab w:val="left" w:pos="720"/>
          <w:tab w:val="left" w:pos="1440"/>
          <w:tab w:val="left" w:pos="2160"/>
        </w:tabs>
        <w:jc w:val="both"/>
        <w:rPr>
          <w:rStyle w:val="LineNumber"/>
          <w:rFonts w:ascii="Arial" w:hAnsi="Arial" w:cs="Arial"/>
        </w:rPr>
      </w:pPr>
    </w:p>
    <w:p w14:paraId="421E96D6" w14:textId="77777777" w:rsidR="00A1266C" w:rsidRDefault="00A1266C">
      <w:pPr>
        <w:pStyle w:val="Heading2"/>
        <w:rPr>
          <w:rStyle w:val="LineNumber"/>
          <w:rFonts w:ascii="Arial" w:hAnsi="Arial"/>
          <w:bCs/>
        </w:rPr>
      </w:pPr>
      <w:r>
        <w:rPr>
          <w:rStyle w:val="LineNumber"/>
          <w:rFonts w:ascii="Arial" w:hAnsi="Arial"/>
          <w:bCs/>
        </w:rPr>
        <w:t>END OF SECTION 105</w:t>
      </w:r>
    </w:p>
    <w:sectPr w:rsidR="00A1266C" w:rsidSect="0002308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45F4" w14:textId="77777777" w:rsidR="007A1CAE" w:rsidRDefault="007A1CAE">
      <w:r>
        <w:separator/>
      </w:r>
    </w:p>
  </w:endnote>
  <w:endnote w:type="continuationSeparator" w:id="0">
    <w:p w14:paraId="3417425A" w14:textId="77777777" w:rsidR="007A1CAE" w:rsidRDefault="007A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73C" w14:textId="77777777" w:rsidR="00A1266C" w:rsidRDefault="00A1266C">
    <w:pPr>
      <w:pStyle w:val="Footer"/>
    </w:pPr>
    <w:r>
      <w:rPr>
        <w:rFonts w:ascii="Arial" w:hAnsi="Arial" w:cs="Arial"/>
        <w:b/>
        <w:bCs/>
      </w:rPr>
      <w:tab/>
      <w:t>105-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b/>
    </w:r>
    <w:r>
      <w:rPr>
        <w:rStyle w:val="PageNumber"/>
        <w:rFonts w:ascii="Arial" w:hAnsi="Arial"/>
        <w:b/>
      </w:rPr>
      <w:t>08/10/05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D41E" w14:textId="77777777" w:rsidR="00A1266C" w:rsidRDefault="00A1266C">
    <w:pPr>
      <w:pStyle w:val="Footer"/>
      <w:rPr>
        <w:rFonts w:ascii="Arial" w:hAnsi="Arial" w:cs="Arial"/>
        <w:b/>
        <w:bCs/>
      </w:rPr>
    </w:pPr>
    <w:r>
      <w:rPr>
        <w:rFonts w:ascii="Arial" w:hAnsi="Arial" w:cs="Arial"/>
        <w:b/>
        <w:bCs/>
      </w:rPr>
      <w:tab/>
    </w:r>
    <w:r w:rsidR="00C14CEA">
      <w:rPr>
        <w:rFonts w:ascii="Arial" w:hAnsi="Arial"/>
        <w:b/>
        <w:bCs/>
      </w:rPr>
      <w:t>(Project No.)</w:t>
    </w:r>
  </w:p>
  <w:p w14:paraId="54B563EE" w14:textId="7C2164AE" w:rsidR="00A1266C" w:rsidRDefault="00A1266C">
    <w:pPr>
      <w:pStyle w:val="Footer"/>
      <w:rPr>
        <w:rFonts w:ascii="Arial" w:hAnsi="Arial" w:cs="Arial"/>
        <w:b/>
        <w:bCs/>
      </w:rPr>
    </w:pPr>
    <w:r>
      <w:rPr>
        <w:rFonts w:ascii="Arial" w:hAnsi="Arial" w:cs="Arial"/>
        <w:b/>
        <w:bCs/>
      </w:rPr>
      <w:tab/>
      <w:t>105-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284A8E">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FB6311">
      <w:rPr>
        <w:rStyle w:val="PageNumber"/>
        <w:rFonts w:ascii="Arial" w:hAnsi="Arial" w:cs="Arial"/>
        <w:b/>
        <w:bCs/>
      </w:rPr>
      <w:t>9/</w:t>
    </w:r>
    <w:r w:rsidR="00D623F1">
      <w:rPr>
        <w:rStyle w:val="PageNumber"/>
        <w:rFonts w:ascii="Arial" w:hAnsi="Arial" w:cs="Arial"/>
        <w:b/>
        <w:bCs/>
      </w:rPr>
      <w:t>26/20</w:t>
    </w:r>
    <w:r w:rsidR="0064306D">
      <w:rPr>
        <w:rStyle w:val="PageNumber"/>
        <w:rFonts w:ascii="Arial" w:hAnsi="Arial"/>
        <w:b/>
      </w:rPr>
      <w:t>2</w:t>
    </w:r>
    <w:r w:rsidR="000C2822">
      <w:rPr>
        <w:rStyle w:val="PageNumber"/>
        <w:rFonts w:ascii="Arial" w:hAnsi="Arial"/>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5FD1" w14:textId="77777777" w:rsidR="00FB6311" w:rsidRDefault="00FB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5761" w14:textId="77777777" w:rsidR="007A1CAE" w:rsidRDefault="007A1CAE">
      <w:r>
        <w:separator/>
      </w:r>
    </w:p>
  </w:footnote>
  <w:footnote w:type="continuationSeparator" w:id="0">
    <w:p w14:paraId="008E372F" w14:textId="77777777" w:rsidR="007A1CAE" w:rsidRDefault="007A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B68B" w14:textId="77777777" w:rsidR="00A1266C" w:rsidRDefault="00A1266C">
    <w:pPr>
      <w:pStyle w:val="Header"/>
      <w:rPr>
        <w:rFonts w:ascii="Arial" w:hAnsi="Arial"/>
        <w:b/>
      </w:rPr>
    </w:pPr>
    <w:r>
      <w:rPr>
        <w:rFonts w:ascii="Arial" w:hAnsi="Arial"/>
        <w:b/>
      </w:rPr>
      <w:fldChar w:fldCharType="begin"/>
    </w:r>
    <w:r>
      <w:rPr>
        <w:rFonts w:ascii="Arial" w:hAnsi="Arial"/>
        <w:b/>
      </w:rPr>
      <w:instrText xml:space="preserve"> STYLEREF  Subsection  \* MERGEFORMAT </w:instrText>
    </w:r>
    <w:r>
      <w:rPr>
        <w:rFonts w:ascii="Arial" w:hAnsi="Arial"/>
        <w:b/>
      </w:rPr>
      <w:fldChar w:fldCharType="separate"/>
    </w:r>
    <w:r w:rsidR="00932A3C">
      <w:rPr>
        <w:rFonts w:ascii="Arial" w:hAnsi="Arial"/>
        <w:b/>
        <w:noProof/>
      </w:rPr>
      <w:t>“105.01</w:t>
    </w:r>
    <w:r>
      <w:rPr>
        <w:rFonts w:ascii="Arial" w:hAnsi="Aria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4282" w14:textId="77777777" w:rsidR="00FB6311" w:rsidRDefault="00FB6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D7B8" w14:textId="77777777" w:rsidR="00FB6311" w:rsidRDefault="00FB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252"/>
    <w:multiLevelType w:val="multilevel"/>
    <w:tmpl w:val="C6E01734"/>
    <w:lvl w:ilvl="0">
      <w:start w:val="105"/>
      <w:numFmt w:val="decimal"/>
      <w:lvlText w:val="%1"/>
      <w:lvlJc w:val="left"/>
      <w:pPr>
        <w:tabs>
          <w:tab w:val="num" w:pos="735"/>
        </w:tabs>
        <w:ind w:left="735" w:hanging="735"/>
      </w:pPr>
      <w:rPr>
        <w:rFonts w:hint="default"/>
        <w:b/>
      </w:rPr>
    </w:lvl>
    <w:lvl w:ilvl="1">
      <w:start w:val="10"/>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54534D57"/>
    <w:multiLevelType w:val="hybridMultilevel"/>
    <w:tmpl w:val="C76636D4"/>
    <w:lvl w:ilvl="0" w:tplc="2342259A">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4FB66E6"/>
    <w:multiLevelType w:val="multilevel"/>
    <w:tmpl w:val="A058E806"/>
    <w:lvl w:ilvl="0">
      <w:start w:val="105"/>
      <w:numFmt w:val="decimal"/>
      <w:lvlText w:val="%1"/>
      <w:lvlJc w:val="left"/>
      <w:pPr>
        <w:tabs>
          <w:tab w:val="num" w:pos="1080"/>
        </w:tabs>
        <w:ind w:left="1080" w:hanging="1080"/>
      </w:pPr>
      <w:rPr>
        <w:rFonts w:hint="default"/>
        <w:b/>
      </w:rPr>
    </w:lvl>
    <w:lvl w:ilvl="1">
      <w:start w:val="10"/>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544519664">
    <w:abstractNumId w:val="1"/>
  </w:num>
  <w:num w:numId="2" w16cid:durableId="1316256443">
    <w:abstractNumId w:val="2"/>
  </w:num>
  <w:num w:numId="3" w16cid:durableId="179837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43"/>
    <w:rsid w:val="0002308E"/>
    <w:rsid w:val="00050F50"/>
    <w:rsid w:val="000C2822"/>
    <w:rsid w:val="000E6725"/>
    <w:rsid w:val="001A559D"/>
    <w:rsid w:val="001F00C8"/>
    <w:rsid w:val="002127DE"/>
    <w:rsid w:val="0025609A"/>
    <w:rsid w:val="00280B4A"/>
    <w:rsid w:val="00284A8E"/>
    <w:rsid w:val="00307EA5"/>
    <w:rsid w:val="003D1743"/>
    <w:rsid w:val="004143B4"/>
    <w:rsid w:val="0043543E"/>
    <w:rsid w:val="00444D56"/>
    <w:rsid w:val="004C37F0"/>
    <w:rsid w:val="00576ADB"/>
    <w:rsid w:val="00583B22"/>
    <w:rsid w:val="0064306D"/>
    <w:rsid w:val="006C210A"/>
    <w:rsid w:val="0075652D"/>
    <w:rsid w:val="0078114D"/>
    <w:rsid w:val="007A1CAE"/>
    <w:rsid w:val="007A2DAD"/>
    <w:rsid w:val="00811AC4"/>
    <w:rsid w:val="00835010"/>
    <w:rsid w:val="008436AC"/>
    <w:rsid w:val="008A2447"/>
    <w:rsid w:val="00906C7C"/>
    <w:rsid w:val="00932A3C"/>
    <w:rsid w:val="00945759"/>
    <w:rsid w:val="009519E4"/>
    <w:rsid w:val="009713B5"/>
    <w:rsid w:val="00A1266C"/>
    <w:rsid w:val="00AA0C8F"/>
    <w:rsid w:val="00AA56BA"/>
    <w:rsid w:val="00B44324"/>
    <w:rsid w:val="00BA11F2"/>
    <w:rsid w:val="00BE762E"/>
    <w:rsid w:val="00C14CEA"/>
    <w:rsid w:val="00C2202B"/>
    <w:rsid w:val="00C96BAF"/>
    <w:rsid w:val="00CA2BFF"/>
    <w:rsid w:val="00CB596B"/>
    <w:rsid w:val="00D17523"/>
    <w:rsid w:val="00D623F1"/>
    <w:rsid w:val="00DC273E"/>
    <w:rsid w:val="00DD12C3"/>
    <w:rsid w:val="00DE671F"/>
    <w:rsid w:val="00DF03A9"/>
    <w:rsid w:val="00E52CB5"/>
    <w:rsid w:val="00E750B0"/>
    <w:rsid w:val="00EA0CD2"/>
    <w:rsid w:val="00EA7720"/>
    <w:rsid w:val="00F3695F"/>
    <w:rsid w:val="00FB6311"/>
    <w:rsid w:val="00FC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5D36B"/>
  <w15:chartTrackingRefBased/>
  <w15:docId w15:val="{56C3F2E1-C107-4589-92AC-99B6BC2A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080"/>
        <w:tab w:val="left" w:pos="1440"/>
        <w:tab w:val="left" w:pos="2160"/>
      </w:tabs>
      <w:jc w:val="both"/>
      <w:outlineLvl w:val="0"/>
    </w:pPr>
    <w:rPr>
      <w:rFonts w:ascii="Arial" w:hAnsi="Arial" w:cs="Arial"/>
      <w:b/>
      <w:color w:val="0000FF"/>
      <w:sz w:val="32"/>
    </w:rPr>
  </w:style>
  <w:style w:type="paragraph" w:styleId="Heading2">
    <w:name w:val="heading 2"/>
    <w:basedOn w:val="Normal"/>
    <w:next w:val="Normal"/>
    <w:qFormat/>
    <w:pPr>
      <w:keepNext/>
      <w:tabs>
        <w:tab w:val="left" w:pos="720"/>
        <w:tab w:val="left" w:pos="1440"/>
        <w:tab w:val="left" w:pos="2160"/>
      </w:tabs>
      <w:ind w:left="720"/>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rPr>
      <w:rFonts w:ascii="Times New Roman" w:hAnsi="Times New Roman"/>
      <w:sz w:val="24"/>
    </w:rPr>
  </w:style>
  <w:style w:type="paragraph" w:styleId="Title">
    <w:name w:val="Title"/>
    <w:basedOn w:val="Normal"/>
    <w:qFormat/>
    <w:pPr>
      <w:jc w:val="center"/>
    </w:pPr>
    <w:rPr>
      <w:rFonts w:ascii="Arial" w:hAnsi="Arial" w:cs="Arial"/>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s>
      <w:jc w:val="both"/>
    </w:pPr>
    <w:rPr>
      <w:rFonts w:ascii="Arial" w:hAnsi="Arial" w:cs="Arial"/>
      <w:bCs/>
    </w:rPr>
  </w:style>
  <w:style w:type="paragraph" w:styleId="BodyTextIndent">
    <w:name w:val="Body Text Indent"/>
    <w:basedOn w:val="Normal"/>
    <w:link w:val="BodyTextIndentChar"/>
    <w:semiHidden/>
    <w:pPr>
      <w:tabs>
        <w:tab w:val="left" w:pos="720"/>
        <w:tab w:val="left" w:pos="1440"/>
        <w:tab w:val="left" w:pos="2160"/>
      </w:tabs>
      <w:ind w:left="720"/>
      <w:jc w:val="both"/>
    </w:pPr>
    <w:rPr>
      <w:rFonts w:ascii="Arial" w:hAnsi="Arial" w:cs="Arial"/>
    </w:rPr>
  </w:style>
  <w:style w:type="paragraph" w:styleId="BodyText2">
    <w:name w:val="Body Text 2"/>
    <w:basedOn w:val="Normal"/>
    <w:semiHidden/>
    <w:pPr>
      <w:tabs>
        <w:tab w:val="left" w:pos="720"/>
        <w:tab w:val="left" w:pos="1080"/>
        <w:tab w:val="left" w:pos="1440"/>
        <w:tab w:val="left" w:pos="2160"/>
      </w:tabs>
      <w:jc w:val="both"/>
    </w:pPr>
    <w:rPr>
      <w:rFonts w:ascii="Arial" w:hAnsi="Arial" w:cs="Arial"/>
      <w:b/>
      <w:color w:val="0000FF"/>
      <w:sz w:val="36"/>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widowControl w:val="0"/>
      <w:autoSpaceDE w:val="0"/>
      <w:autoSpaceDN w:val="0"/>
      <w:adjustRightInd w:val="0"/>
      <w:jc w:val="both"/>
    </w:pPr>
    <w:rPr>
      <w:sz w:val="20"/>
      <w:szCs w:val="20"/>
    </w:rPr>
  </w:style>
  <w:style w:type="paragraph" w:styleId="BodyTextIndent2">
    <w:name w:val="Body Text Indent 2"/>
    <w:basedOn w:val="Normal"/>
    <w:semiHidden/>
    <w:pPr>
      <w:tabs>
        <w:tab w:val="left" w:pos="-1440"/>
        <w:tab w:val="left" w:pos="-720"/>
        <w:tab w:val="left" w:pos="158"/>
        <w:tab w:val="left" w:pos="403"/>
        <w:tab w:val="left" w:pos="648"/>
        <w:tab w:val="left" w:pos="892"/>
        <w:tab w:val="left" w:pos="1137"/>
        <w:tab w:val="left" w:pos="1324"/>
        <w:tab w:val="left" w:pos="2160"/>
        <w:tab w:val="left" w:pos="2428"/>
        <w:tab w:val="left" w:pos="2880"/>
        <w:tab w:val="left" w:pos="3201"/>
        <w:tab w:val="left" w:pos="3600"/>
        <w:tab w:val="left" w:pos="3864"/>
        <w:tab w:val="left" w:pos="4320"/>
        <w:tab w:val="left" w:pos="5040"/>
        <w:tab w:val="left" w:pos="5299"/>
        <w:tab w:val="left" w:pos="5760"/>
      </w:tabs>
      <w:ind w:left="482" w:hanging="482"/>
      <w:jc w:val="both"/>
    </w:pPr>
    <w:rPr>
      <w:rFonts w:ascii="Arial" w:hAnsi="Arial" w:cs="Arial"/>
      <w:szCs w:val="18"/>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720"/>
        <w:tab w:val="left" w:pos="1440"/>
        <w:tab w:val="left" w:pos="2160"/>
        <w:tab w:val="left" w:pos="2880"/>
        <w:tab w:val="center" w:pos="4320"/>
        <w:tab w:val="right" w:pos="8640"/>
      </w:tabs>
      <w:ind w:left="720"/>
      <w:jc w:val="both"/>
    </w:pPr>
    <w:rPr>
      <w:rFonts w:ascii="Arial" w:hAnsi="Arial" w:cs="Arial"/>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unhideWhenUsed/>
    <w:rsid w:val="003D1743"/>
    <w:rPr>
      <w:rFonts w:ascii="Segoe UI" w:hAnsi="Segoe UI" w:cs="Segoe UI"/>
      <w:sz w:val="18"/>
      <w:szCs w:val="18"/>
    </w:rPr>
  </w:style>
  <w:style w:type="character" w:customStyle="1" w:styleId="BalloonTextChar">
    <w:name w:val="Balloon Text Char"/>
    <w:link w:val="BalloonText"/>
    <w:uiPriority w:val="99"/>
    <w:semiHidden/>
    <w:rsid w:val="003D17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56BA"/>
    <w:pPr>
      <w:overflowPunct/>
      <w:autoSpaceDE/>
      <w:autoSpaceDN/>
      <w:adjustRightInd/>
      <w:textAlignment w:val="auto"/>
    </w:pPr>
    <w:rPr>
      <w:b/>
      <w:bCs/>
    </w:rPr>
  </w:style>
  <w:style w:type="character" w:customStyle="1" w:styleId="CommentTextChar">
    <w:name w:val="Comment Text Char"/>
    <w:link w:val="CommentText"/>
    <w:semiHidden/>
    <w:rsid w:val="00AA56BA"/>
    <w:rPr>
      <w:lang w:eastAsia="en-US"/>
    </w:rPr>
  </w:style>
  <w:style w:type="character" w:customStyle="1" w:styleId="CommentSubjectChar">
    <w:name w:val="Comment Subject Char"/>
    <w:link w:val="CommentSubject"/>
    <w:uiPriority w:val="99"/>
    <w:semiHidden/>
    <w:rsid w:val="00AA56BA"/>
    <w:rPr>
      <w:b/>
      <w:bCs/>
      <w:lang w:eastAsia="en-US"/>
    </w:rPr>
  </w:style>
  <w:style w:type="character" w:customStyle="1" w:styleId="BodyTextIndentChar">
    <w:name w:val="Body Text Indent Char"/>
    <w:link w:val="BodyTextIndent"/>
    <w:semiHidden/>
    <w:rsid w:val="007565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7CF1E-AA7C-4873-AB42-4E3EFF059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B76EA-D342-4458-BCDD-51B41593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7A168-29A1-40C8-9D69-439613645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711</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105 – CONTROL OF WORK</vt:lpstr>
    </vt:vector>
  </TitlesOfParts>
  <Company>State of Hawaii</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 – CONTROL OF WORK</dc:title>
  <dc:subject/>
  <dc:creator>hwy_ds02</dc:creator>
  <cp:keywords/>
  <dc:description/>
  <cp:lastModifiedBy>Kawamoto, Owen N</cp:lastModifiedBy>
  <cp:revision>9</cp:revision>
  <cp:lastPrinted>2017-11-30T02:47:00Z</cp:lastPrinted>
  <dcterms:created xsi:type="dcterms:W3CDTF">2022-07-02T01:12:00Z</dcterms:created>
  <dcterms:modified xsi:type="dcterms:W3CDTF">2022-09-23T17:33:00Z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