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07" w:rsidRDefault="005F2207" w:rsidP="009332A6">
      <w:pPr>
        <w:jc w:val="center"/>
        <w:rPr>
          <w:sz w:val="36"/>
          <w:szCs w:val="36"/>
        </w:rPr>
      </w:pPr>
    </w:p>
    <w:p w:rsidR="005F2207" w:rsidRDefault="005F2207" w:rsidP="009332A6">
      <w:pPr>
        <w:jc w:val="center"/>
        <w:rPr>
          <w:sz w:val="36"/>
          <w:szCs w:val="36"/>
        </w:rPr>
      </w:pPr>
    </w:p>
    <w:p w:rsidR="005F2207" w:rsidRDefault="005F2207" w:rsidP="009332A6">
      <w:pPr>
        <w:jc w:val="center"/>
        <w:rPr>
          <w:sz w:val="36"/>
          <w:szCs w:val="36"/>
        </w:rPr>
      </w:pPr>
    </w:p>
    <w:p w:rsidR="009332A6" w:rsidRPr="009B1735" w:rsidRDefault="009332A6" w:rsidP="009332A6">
      <w:pPr>
        <w:jc w:val="center"/>
        <w:rPr>
          <w:sz w:val="36"/>
          <w:szCs w:val="36"/>
        </w:rPr>
      </w:pPr>
      <w:r w:rsidRPr="009B1735">
        <w:rPr>
          <w:sz w:val="36"/>
          <w:szCs w:val="36"/>
        </w:rPr>
        <w:t>DEPARTMENT OF TRANSPORATION’S</w:t>
      </w:r>
    </w:p>
    <w:p w:rsidR="009332A6" w:rsidRPr="009B1735" w:rsidRDefault="009332A6" w:rsidP="009332A6">
      <w:pPr>
        <w:jc w:val="center"/>
        <w:rPr>
          <w:sz w:val="36"/>
          <w:szCs w:val="36"/>
        </w:rPr>
      </w:pPr>
    </w:p>
    <w:p w:rsidR="009332A6" w:rsidRPr="009B1735" w:rsidRDefault="009332A6" w:rsidP="009332A6">
      <w:pPr>
        <w:jc w:val="center"/>
        <w:rPr>
          <w:sz w:val="36"/>
          <w:szCs w:val="36"/>
        </w:rPr>
      </w:pPr>
      <w:r w:rsidRPr="009B1735">
        <w:rPr>
          <w:sz w:val="36"/>
          <w:szCs w:val="36"/>
        </w:rPr>
        <w:t>REPORT TO THE LEGISLATURE</w:t>
      </w:r>
    </w:p>
    <w:p w:rsidR="009332A6" w:rsidRPr="009B1735" w:rsidRDefault="009332A6" w:rsidP="009332A6">
      <w:pPr>
        <w:jc w:val="center"/>
        <w:rPr>
          <w:sz w:val="36"/>
          <w:szCs w:val="36"/>
        </w:rPr>
      </w:pPr>
    </w:p>
    <w:p w:rsidR="009332A6" w:rsidRDefault="009332A6" w:rsidP="009332A6">
      <w:pPr>
        <w:jc w:val="center"/>
        <w:rPr>
          <w:sz w:val="36"/>
          <w:szCs w:val="36"/>
        </w:rPr>
      </w:pPr>
      <w:r w:rsidRPr="009B1735">
        <w:rPr>
          <w:sz w:val="36"/>
          <w:szCs w:val="36"/>
        </w:rPr>
        <w:t xml:space="preserve">OF </w:t>
      </w:r>
    </w:p>
    <w:p w:rsidR="009332A6" w:rsidRPr="009B1735" w:rsidRDefault="009332A6" w:rsidP="009332A6">
      <w:pPr>
        <w:jc w:val="center"/>
        <w:rPr>
          <w:sz w:val="36"/>
          <w:szCs w:val="36"/>
        </w:rPr>
      </w:pPr>
    </w:p>
    <w:p w:rsidR="009332A6" w:rsidRPr="009B1735" w:rsidRDefault="009332A6" w:rsidP="009332A6">
      <w:pPr>
        <w:jc w:val="center"/>
        <w:rPr>
          <w:sz w:val="36"/>
          <w:szCs w:val="36"/>
        </w:rPr>
      </w:pPr>
      <w:r>
        <w:rPr>
          <w:sz w:val="36"/>
          <w:szCs w:val="36"/>
        </w:rPr>
        <w:t>THE STATE OF HAWAII</w:t>
      </w:r>
    </w:p>
    <w:p w:rsidR="009332A6" w:rsidRPr="009B1735" w:rsidRDefault="009332A6" w:rsidP="009332A6">
      <w:pPr>
        <w:rPr>
          <w:sz w:val="36"/>
          <w:szCs w:val="36"/>
        </w:rPr>
      </w:pPr>
    </w:p>
    <w:p w:rsidR="009332A6" w:rsidRDefault="009332A6" w:rsidP="009332A6">
      <w:pPr>
        <w:jc w:val="center"/>
        <w:rPr>
          <w:sz w:val="36"/>
          <w:szCs w:val="36"/>
        </w:rPr>
      </w:pPr>
      <w:r w:rsidRPr="009B1735">
        <w:rPr>
          <w:sz w:val="36"/>
          <w:szCs w:val="36"/>
        </w:rPr>
        <w:t>REQUIRED UNDER</w:t>
      </w:r>
    </w:p>
    <w:p w:rsidR="009332A6" w:rsidRDefault="009332A6" w:rsidP="009332A6">
      <w:pPr>
        <w:jc w:val="center"/>
        <w:rPr>
          <w:sz w:val="36"/>
          <w:szCs w:val="36"/>
        </w:rPr>
      </w:pPr>
    </w:p>
    <w:p w:rsidR="009332A6" w:rsidRDefault="009332A6" w:rsidP="009332A6">
      <w:pPr>
        <w:jc w:val="center"/>
        <w:rPr>
          <w:sz w:val="36"/>
          <w:szCs w:val="36"/>
        </w:rPr>
      </w:pPr>
      <w:r>
        <w:rPr>
          <w:sz w:val="36"/>
          <w:szCs w:val="36"/>
        </w:rPr>
        <w:t>SECTION 261-7, HAWAII REVISED STATUTES</w:t>
      </w:r>
    </w:p>
    <w:p w:rsidR="009332A6" w:rsidRDefault="009332A6" w:rsidP="009332A6">
      <w:pPr>
        <w:jc w:val="center"/>
        <w:rPr>
          <w:sz w:val="36"/>
          <w:szCs w:val="36"/>
        </w:rPr>
      </w:pPr>
    </w:p>
    <w:p w:rsidR="009332A6" w:rsidRPr="009B1735" w:rsidRDefault="009332A6" w:rsidP="009332A6">
      <w:pPr>
        <w:jc w:val="center"/>
        <w:rPr>
          <w:sz w:val="36"/>
          <w:szCs w:val="36"/>
        </w:rPr>
      </w:pPr>
    </w:p>
    <w:p w:rsidR="009332A6" w:rsidRPr="00AC3D5F" w:rsidRDefault="009332A6" w:rsidP="009332A6">
      <w:pPr>
        <w:jc w:val="center"/>
        <w:rPr>
          <w:szCs w:val="24"/>
        </w:rPr>
      </w:pPr>
    </w:p>
    <w:p w:rsidR="009332A6" w:rsidRPr="009B1735" w:rsidRDefault="009332A6" w:rsidP="009332A6">
      <w:pPr>
        <w:jc w:val="center"/>
        <w:rPr>
          <w:b/>
          <w:sz w:val="36"/>
          <w:szCs w:val="36"/>
        </w:rPr>
      </w:pPr>
      <w:r w:rsidRPr="009B1735">
        <w:rPr>
          <w:b/>
          <w:sz w:val="36"/>
          <w:szCs w:val="36"/>
        </w:rPr>
        <w:t>CUSTOMER FACILITY CHARGE</w:t>
      </w:r>
    </w:p>
    <w:p w:rsidR="009332A6" w:rsidRPr="009B1735" w:rsidRDefault="009332A6" w:rsidP="009332A6">
      <w:pPr>
        <w:jc w:val="center"/>
        <w:rPr>
          <w:b/>
          <w:sz w:val="36"/>
          <w:szCs w:val="36"/>
        </w:rPr>
      </w:pPr>
      <w:r w:rsidRPr="009B1735">
        <w:rPr>
          <w:b/>
          <w:sz w:val="36"/>
          <w:szCs w:val="36"/>
        </w:rPr>
        <w:t>FROM ACT 226</w:t>
      </w:r>
    </w:p>
    <w:p w:rsidR="009332A6" w:rsidRPr="009B1735" w:rsidRDefault="009332A6" w:rsidP="009332A6">
      <w:pPr>
        <w:jc w:val="center"/>
        <w:rPr>
          <w:b/>
          <w:sz w:val="36"/>
          <w:szCs w:val="36"/>
        </w:rPr>
      </w:pPr>
      <w:r w:rsidRPr="009B1735">
        <w:rPr>
          <w:b/>
          <w:sz w:val="36"/>
          <w:szCs w:val="36"/>
        </w:rPr>
        <w:t xml:space="preserve">SESSION LAWS </w:t>
      </w:r>
      <w:r>
        <w:rPr>
          <w:b/>
          <w:sz w:val="36"/>
          <w:szCs w:val="36"/>
        </w:rPr>
        <w:t>OF HAWAII 2008</w:t>
      </w:r>
    </w:p>
    <w:p w:rsidR="009332A6" w:rsidRPr="00AC3D5F" w:rsidRDefault="009332A6" w:rsidP="009332A6">
      <w:pPr>
        <w:jc w:val="center"/>
        <w:rPr>
          <w:szCs w:val="24"/>
        </w:rPr>
      </w:pPr>
    </w:p>
    <w:p w:rsidR="009332A6" w:rsidRPr="00AC3D5F" w:rsidRDefault="009332A6" w:rsidP="009332A6">
      <w:pPr>
        <w:jc w:val="center"/>
        <w:rPr>
          <w:b/>
          <w:szCs w:val="24"/>
        </w:rPr>
      </w:pPr>
    </w:p>
    <w:p w:rsidR="009332A6" w:rsidRPr="00AC3D5F" w:rsidRDefault="009332A6" w:rsidP="009332A6">
      <w:pPr>
        <w:jc w:val="center"/>
        <w:rPr>
          <w:b/>
          <w:szCs w:val="24"/>
        </w:rPr>
      </w:pPr>
    </w:p>
    <w:p w:rsidR="009332A6" w:rsidRPr="00AC3D5F" w:rsidRDefault="009332A6" w:rsidP="009332A6">
      <w:pPr>
        <w:jc w:val="center"/>
        <w:rPr>
          <w:b/>
          <w:szCs w:val="24"/>
        </w:rPr>
      </w:pPr>
    </w:p>
    <w:p w:rsidR="009332A6" w:rsidRPr="00AC3D5F" w:rsidRDefault="009332A6" w:rsidP="009332A6">
      <w:pPr>
        <w:jc w:val="center"/>
        <w:rPr>
          <w:b/>
          <w:szCs w:val="24"/>
        </w:rPr>
      </w:pPr>
    </w:p>
    <w:p w:rsidR="009332A6" w:rsidRPr="00AC3D5F" w:rsidRDefault="009332A6" w:rsidP="009332A6">
      <w:pPr>
        <w:jc w:val="center"/>
        <w:rPr>
          <w:b/>
          <w:szCs w:val="24"/>
        </w:rPr>
      </w:pPr>
    </w:p>
    <w:p w:rsidR="009332A6" w:rsidRPr="00AC3D5F"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jc w:val="center"/>
        <w:rPr>
          <w:b/>
          <w:szCs w:val="24"/>
        </w:rPr>
      </w:pPr>
    </w:p>
    <w:p w:rsidR="009332A6" w:rsidRDefault="009332A6" w:rsidP="009332A6">
      <w:pPr>
        <w:rPr>
          <w:b/>
          <w:szCs w:val="24"/>
        </w:rPr>
      </w:pPr>
    </w:p>
    <w:p w:rsidR="009332A6" w:rsidRPr="00AC3D5F" w:rsidRDefault="009332A6" w:rsidP="009332A6">
      <w:pPr>
        <w:rPr>
          <w:b/>
          <w:szCs w:val="24"/>
        </w:rPr>
      </w:pPr>
    </w:p>
    <w:p w:rsidR="009332A6" w:rsidRPr="009B1735" w:rsidRDefault="009332A6" w:rsidP="009332A6">
      <w:pPr>
        <w:jc w:val="center"/>
        <w:rPr>
          <w:b/>
          <w:szCs w:val="24"/>
        </w:rPr>
      </w:pPr>
      <w:r w:rsidRPr="009B1735">
        <w:rPr>
          <w:b/>
          <w:szCs w:val="24"/>
        </w:rPr>
        <w:t>STATE OF HAWAII</w:t>
      </w:r>
    </w:p>
    <w:p w:rsidR="009332A6" w:rsidRPr="009B1735" w:rsidRDefault="009332A6" w:rsidP="009332A6">
      <w:pPr>
        <w:jc w:val="center"/>
        <w:rPr>
          <w:b/>
          <w:szCs w:val="24"/>
        </w:rPr>
      </w:pPr>
      <w:r w:rsidRPr="009B1735">
        <w:rPr>
          <w:b/>
          <w:szCs w:val="24"/>
        </w:rPr>
        <w:t>DEPARTMENT OF TRANSPORTATION, AIRPORTS DIVISION</w:t>
      </w:r>
    </w:p>
    <w:p w:rsidR="009332A6" w:rsidRPr="009B1735" w:rsidRDefault="009332A6" w:rsidP="009332A6">
      <w:pPr>
        <w:jc w:val="center"/>
        <w:rPr>
          <w:b/>
          <w:szCs w:val="24"/>
        </w:rPr>
      </w:pPr>
      <w:r>
        <w:rPr>
          <w:b/>
          <w:szCs w:val="24"/>
        </w:rPr>
        <w:t xml:space="preserve">DECEMBER </w:t>
      </w:r>
      <w:r w:rsidRPr="009B1735">
        <w:rPr>
          <w:b/>
          <w:szCs w:val="24"/>
        </w:rPr>
        <w:t xml:space="preserve"> 2014</w:t>
      </w:r>
    </w:p>
    <w:p w:rsidR="009332A6" w:rsidRDefault="009332A6" w:rsidP="009332A6">
      <w:pPr>
        <w:jc w:val="center"/>
        <w:rPr>
          <w:b/>
          <w:sz w:val="28"/>
          <w:szCs w:val="28"/>
        </w:rPr>
      </w:pPr>
    </w:p>
    <w:p w:rsidR="00F73262" w:rsidRDefault="00F73262">
      <w:pPr>
        <w:pStyle w:val="Header"/>
        <w:tabs>
          <w:tab w:val="clear" w:pos="4320"/>
          <w:tab w:val="clear" w:pos="8640"/>
        </w:tabs>
        <w:rPr>
          <w:sz w:val="24"/>
        </w:rPr>
      </w:pPr>
    </w:p>
    <w:p w:rsidR="00F73262" w:rsidRDefault="00F73262" w:rsidP="00F73262">
      <w:pPr>
        <w:jc w:val="center"/>
        <w:rPr>
          <w:b/>
          <w:sz w:val="24"/>
          <w:szCs w:val="24"/>
        </w:rPr>
      </w:pPr>
    </w:p>
    <w:p w:rsidR="009332A6" w:rsidRDefault="009332A6" w:rsidP="00F73262">
      <w:pPr>
        <w:jc w:val="center"/>
        <w:rPr>
          <w:b/>
          <w:sz w:val="24"/>
          <w:szCs w:val="24"/>
        </w:rPr>
      </w:pPr>
    </w:p>
    <w:p w:rsidR="009332A6" w:rsidRDefault="009332A6" w:rsidP="00F73262">
      <w:pPr>
        <w:jc w:val="center"/>
        <w:rPr>
          <w:b/>
          <w:sz w:val="24"/>
          <w:szCs w:val="24"/>
        </w:rPr>
      </w:pPr>
    </w:p>
    <w:p w:rsidR="009332A6" w:rsidRDefault="009332A6" w:rsidP="00F73262">
      <w:pPr>
        <w:jc w:val="center"/>
        <w:rPr>
          <w:b/>
          <w:sz w:val="24"/>
          <w:szCs w:val="24"/>
        </w:rPr>
      </w:pPr>
    </w:p>
    <w:p w:rsidR="009332A6" w:rsidRDefault="009332A6" w:rsidP="00F73262">
      <w:pPr>
        <w:jc w:val="center"/>
        <w:rPr>
          <w:b/>
          <w:sz w:val="24"/>
          <w:szCs w:val="24"/>
        </w:rPr>
      </w:pPr>
    </w:p>
    <w:p w:rsidR="009332A6" w:rsidRDefault="009332A6" w:rsidP="009332A6">
      <w:pPr>
        <w:pStyle w:val="Header"/>
        <w:tabs>
          <w:tab w:val="clear" w:pos="4320"/>
          <w:tab w:val="clear" w:pos="8640"/>
        </w:tabs>
        <w:rPr>
          <w:sz w:val="24"/>
          <w:szCs w:val="24"/>
        </w:rPr>
      </w:pPr>
      <w:r w:rsidRPr="00187F12">
        <w:rPr>
          <w:sz w:val="24"/>
          <w:szCs w:val="24"/>
        </w:rPr>
        <w:t>Act 226</w:t>
      </w:r>
      <w:r>
        <w:rPr>
          <w:sz w:val="24"/>
          <w:szCs w:val="24"/>
        </w:rPr>
        <w:t>, Session Laws of Hawaii 2008</w:t>
      </w:r>
    </w:p>
    <w:p w:rsidR="009332A6" w:rsidRDefault="009332A6" w:rsidP="009332A6">
      <w:pPr>
        <w:pStyle w:val="Header"/>
        <w:tabs>
          <w:tab w:val="clear" w:pos="4320"/>
          <w:tab w:val="clear" w:pos="8640"/>
        </w:tabs>
        <w:rPr>
          <w:sz w:val="24"/>
          <w:szCs w:val="24"/>
        </w:rPr>
      </w:pPr>
      <w:r>
        <w:rPr>
          <w:sz w:val="24"/>
          <w:szCs w:val="24"/>
        </w:rPr>
        <w:t>Report to the Legislature</w:t>
      </w:r>
    </w:p>
    <w:p w:rsidR="009332A6" w:rsidRDefault="009332A6" w:rsidP="009332A6">
      <w:pPr>
        <w:pStyle w:val="Header"/>
        <w:tabs>
          <w:tab w:val="clear" w:pos="4320"/>
          <w:tab w:val="clear" w:pos="8640"/>
        </w:tabs>
        <w:rPr>
          <w:sz w:val="24"/>
          <w:szCs w:val="24"/>
        </w:rPr>
      </w:pPr>
      <w:r>
        <w:rPr>
          <w:sz w:val="24"/>
          <w:szCs w:val="24"/>
        </w:rPr>
        <w:t>December 19, 2014</w:t>
      </w:r>
    </w:p>
    <w:p w:rsidR="009332A6" w:rsidRDefault="009332A6" w:rsidP="009332A6">
      <w:pPr>
        <w:pStyle w:val="Header"/>
        <w:tabs>
          <w:tab w:val="clear" w:pos="4320"/>
          <w:tab w:val="clear" w:pos="8640"/>
        </w:tabs>
        <w:rPr>
          <w:sz w:val="24"/>
          <w:szCs w:val="24"/>
        </w:rPr>
      </w:pPr>
      <w:r>
        <w:rPr>
          <w:sz w:val="24"/>
          <w:szCs w:val="24"/>
        </w:rPr>
        <w:t>Page 1</w:t>
      </w:r>
    </w:p>
    <w:p w:rsidR="009332A6" w:rsidRPr="00F73262" w:rsidRDefault="009332A6" w:rsidP="00F73262">
      <w:pPr>
        <w:jc w:val="center"/>
        <w:rPr>
          <w:b/>
          <w:sz w:val="24"/>
          <w:szCs w:val="24"/>
        </w:rPr>
      </w:pPr>
    </w:p>
    <w:p w:rsidR="00F73262" w:rsidRPr="00F73262" w:rsidRDefault="00F73262" w:rsidP="00F73262">
      <w:pPr>
        <w:rPr>
          <w:b/>
          <w:sz w:val="24"/>
          <w:szCs w:val="24"/>
        </w:rPr>
      </w:pPr>
    </w:p>
    <w:p w:rsidR="00F73262" w:rsidRPr="00F73262" w:rsidRDefault="00F73262" w:rsidP="00C41488">
      <w:pPr>
        <w:numPr>
          <w:ilvl w:val="0"/>
          <w:numId w:val="1"/>
        </w:numPr>
        <w:tabs>
          <w:tab w:val="clear" w:pos="1080"/>
          <w:tab w:val="num" w:pos="450"/>
          <w:tab w:val="left" w:pos="900"/>
          <w:tab w:val="left" w:pos="1260"/>
          <w:tab w:val="left" w:pos="1710"/>
        </w:tabs>
        <w:ind w:left="450" w:hanging="450"/>
        <w:rPr>
          <w:b/>
          <w:sz w:val="24"/>
          <w:szCs w:val="24"/>
          <w:u w:val="single"/>
        </w:rPr>
      </w:pPr>
      <w:r w:rsidRPr="00F73262">
        <w:rPr>
          <w:b/>
          <w:sz w:val="24"/>
          <w:szCs w:val="24"/>
          <w:u w:val="single"/>
        </w:rPr>
        <w:t>PURPOSE OF REPORT</w:t>
      </w:r>
    </w:p>
    <w:p w:rsidR="00F73262" w:rsidRDefault="00F73262" w:rsidP="00C41488">
      <w:pPr>
        <w:tabs>
          <w:tab w:val="num" w:pos="450"/>
          <w:tab w:val="left" w:pos="900"/>
          <w:tab w:val="left" w:pos="1260"/>
          <w:tab w:val="left" w:pos="1710"/>
        </w:tabs>
        <w:ind w:left="450" w:hanging="450"/>
        <w:rPr>
          <w:b/>
          <w:sz w:val="24"/>
          <w:szCs w:val="24"/>
        </w:rPr>
      </w:pPr>
    </w:p>
    <w:p w:rsidR="00F73262" w:rsidRPr="00F73262" w:rsidRDefault="00F73262" w:rsidP="00C41488">
      <w:pPr>
        <w:tabs>
          <w:tab w:val="num" w:pos="450"/>
          <w:tab w:val="left" w:pos="900"/>
          <w:tab w:val="left" w:pos="1260"/>
          <w:tab w:val="left" w:pos="1710"/>
        </w:tabs>
        <w:ind w:left="450" w:hanging="450"/>
        <w:rPr>
          <w:sz w:val="24"/>
          <w:szCs w:val="24"/>
        </w:rPr>
      </w:pPr>
      <w:r w:rsidRPr="00F73262">
        <w:rPr>
          <w:b/>
          <w:sz w:val="24"/>
          <w:szCs w:val="24"/>
        </w:rPr>
        <w:tab/>
      </w:r>
      <w:r w:rsidRPr="00F73262">
        <w:rPr>
          <w:sz w:val="24"/>
          <w:szCs w:val="24"/>
        </w:rPr>
        <w:t>This report is prepared and submitted pursuant to the provisions of Act 226 Session Laws of Hawaii 2008.  Act 226 permits the imposition and collection of a customer facility charge (hereinafter “CFC”) by the Department of Transportation on rental car transactions at state airports.  Section 11 of the Act requires the Department of Transportation to submit an annual report to the Legislature relating to its activities under the Act:</w:t>
      </w:r>
    </w:p>
    <w:p w:rsidR="00F73262" w:rsidRPr="00F73262" w:rsidRDefault="00187F12" w:rsidP="00C41488">
      <w:pPr>
        <w:pStyle w:val="regularparagraphs"/>
        <w:tabs>
          <w:tab w:val="left" w:pos="450"/>
          <w:tab w:val="left" w:pos="900"/>
          <w:tab w:val="left" w:pos="1260"/>
          <w:tab w:val="left" w:pos="1710"/>
        </w:tabs>
        <w:ind w:left="900" w:hanging="900"/>
      </w:pPr>
      <w:r>
        <w:tab/>
      </w:r>
      <w:r>
        <w:tab/>
      </w:r>
      <w:r w:rsidR="00F73262" w:rsidRPr="00F73262">
        <w:t>“The department of transportation shall submit at least annual reports to the legislature relating to its activities for the purposes of this Act.  The reports shall provide information and documents including, but not limited to:</w:t>
      </w:r>
    </w:p>
    <w:p w:rsidR="00F73262" w:rsidRPr="00F73262" w:rsidRDefault="00F73262" w:rsidP="00C41488">
      <w:pPr>
        <w:pStyle w:val="1paragraph"/>
        <w:tabs>
          <w:tab w:val="num" w:pos="450"/>
          <w:tab w:val="left" w:pos="900"/>
          <w:tab w:val="left" w:pos="1260"/>
          <w:tab w:val="left" w:pos="1710"/>
        </w:tabs>
        <w:ind w:left="900" w:hanging="900"/>
      </w:pPr>
      <w:r w:rsidRPr="00F73262">
        <w:t>    </w:t>
      </w:r>
      <w:r w:rsidR="00187F12">
        <w:tab/>
      </w:r>
      <w:r w:rsidR="00187F12">
        <w:tab/>
      </w:r>
      <w:r w:rsidR="00187F12">
        <w:tab/>
      </w:r>
      <w:r w:rsidRPr="00F73262">
        <w:t xml:space="preserve"> (1)</w:t>
      </w:r>
      <w:r w:rsidR="00C41488">
        <w:tab/>
      </w:r>
      <w:r w:rsidRPr="00F73262">
        <w:t>A timeline for any expenditures and a description of any projects relating to the expenditures;</w:t>
      </w:r>
    </w:p>
    <w:p w:rsidR="00F73262" w:rsidRPr="00F73262" w:rsidRDefault="00F73262" w:rsidP="00C41488">
      <w:pPr>
        <w:pStyle w:val="1paragraph"/>
        <w:tabs>
          <w:tab w:val="num" w:pos="450"/>
          <w:tab w:val="left" w:pos="900"/>
          <w:tab w:val="left" w:pos="1260"/>
          <w:tab w:val="left" w:pos="1710"/>
        </w:tabs>
        <w:ind w:left="900" w:hanging="900"/>
      </w:pPr>
      <w:r w:rsidRPr="00F73262">
        <w:t xml:space="preserve">     </w:t>
      </w:r>
      <w:r w:rsidR="00187F12">
        <w:tab/>
      </w:r>
      <w:r w:rsidR="00187F12">
        <w:tab/>
      </w:r>
      <w:r w:rsidR="00187F12">
        <w:tab/>
        <w:t>(</w:t>
      </w:r>
      <w:r w:rsidRPr="00F73262">
        <w:t>2)  A timeline for the commencement date and completion date for any project;</w:t>
      </w:r>
    </w:p>
    <w:p w:rsidR="00F73262" w:rsidRPr="00F73262" w:rsidRDefault="00F73262" w:rsidP="00C41488">
      <w:pPr>
        <w:pStyle w:val="1paragraph"/>
        <w:tabs>
          <w:tab w:val="num" w:pos="450"/>
          <w:tab w:val="left" w:pos="900"/>
          <w:tab w:val="left" w:pos="1260"/>
          <w:tab w:val="left" w:pos="1710"/>
        </w:tabs>
        <w:ind w:left="900" w:hanging="900"/>
      </w:pPr>
      <w:r w:rsidRPr="00F73262">
        <w:t>    </w:t>
      </w:r>
      <w:r w:rsidR="00187F12">
        <w:tab/>
      </w:r>
      <w:r w:rsidR="00187F12">
        <w:tab/>
      </w:r>
      <w:r w:rsidR="00187F12">
        <w:tab/>
      </w:r>
      <w:r w:rsidRPr="00F73262">
        <w:t>(3)  A description with an appropriate plan or drawing identifying the location of any project;</w:t>
      </w:r>
    </w:p>
    <w:p w:rsidR="00F73262" w:rsidRPr="00F73262" w:rsidRDefault="00F73262" w:rsidP="00C41488">
      <w:pPr>
        <w:pStyle w:val="1paragraph"/>
        <w:tabs>
          <w:tab w:val="num" w:pos="450"/>
          <w:tab w:val="left" w:pos="900"/>
          <w:tab w:val="left" w:pos="1260"/>
          <w:tab w:val="left" w:pos="1710"/>
        </w:tabs>
        <w:ind w:left="900" w:hanging="900"/>
      </w:pPr>
      <w:r w:rsidRPr="00F73262">
        <w:t>   </w:t>
      </w:r>
      <w:r w:rsidR="00187F12">
        <w:tab/>
      </w:r>
      <w:r w:rsidR="00187F12">
        <w:tab/>
      </w:r>
      <w:r w:rsidR="00187F12">
        <w:tab/>
      </w:r>
      <w:r w:rsidRPr="00F73262">
        <w:t>(4)  Cost estimates for each project, including but not limited to planning, design, purchase, and construction costs and a timeline for the expenditures; and</w:t>
      </w:r>
    </w:p>
    <w:p w:rsidR="00F73262" w:rsidRPr="00F73262" w:rsidRDefault="00187F12" w:rsidP="00C41488">
      <w:pPr>
        <w:pStyle w:val="1paragraph"/>
        <w:tabs>
          <w:tab w:val="num" w:pos="450"/>
          <w:tab w:val="left" w:pos="900"/>
          <w:tab w:val="left" w:pos="1260"/>
          <w:tab w:val="left" w:pos="1710"/>
        </w:tabs>
        <w:ind w:left="900" w:hanging="900"/>
      </w:pPr>
      <w:r>
        <w:tab/>
      </w:r>
      <w:r>
        <w:tab/>
      </w:r>
      <w:r>
        <w:tab/>
      </w:r>
      <w:r w:rsidR="00F73262" w:rsidRPr="00F73262">
        <w:t>(5)  The priority ranking for each project with commencement and completion dates.</w:t>
      </w:r>
    </w:p>
    <w:p w:rsidR="00F73262" w:rsidRDefault="00F73262" w:rsidP="00C41488">
      <w:pPr>
        <w:pStyle w:val="regularparagraphs"/>
        <w:tabs>
          <w:tab w:val="num" w:pos="450"/>
          <w:tab w:val="left" w:pos="900"/>
          <w:tab w:val="left" w:pos="1260"/>
          <w:tab w:val="left" w:pos="1710"/>
        </w:tabs>
        <w:ind w:left="900" w:hanging="900"/>
      </w:pPr>
      <w:r w:rsidRPr="00F73262">
        <w:t xml:space="preserve">     </w:t>
      </w:r>
      <w:r w:rsidRPr="00F73262">
        <w:tab/>
      </w:r>
      <w:r w:rsidRPr="00F73262">
        <w:tab/>
        <w:t>The annual report shall be submitted to the legislature no later than twenty</w:t>
      </w:r>
      <w:r w:rsidR="00C41488">
        <w:t xml:space="preserve"> </w:t>
      </w:r>
      <w:r w:rsidRPr="00F73262">
        <w:t>days prior to the convening of the regular session of the legislature,</w:t>
      </w:r>
      <w:r w:rsidR="00C41488">
        <w:t xml:space="preserve"> </w:t>
      </w:r>
      <w:r w:rsidRPr="00F73262">
        <w:t xml:space="preserve">beginning with the regular </w:t>
      </w:r>
      <w:r w:rsidR="00C41488">
        <w:t>s</w:t>
      </w:r>
      <w:r w:rsidRPr="00F73262">
        <w:t>ession of 2009, and continuing through the</w:t>
      </w:r>
      <w:r w:rsidR="00C41488">
        <w:t xml:space="preserve"> </w:t>
      </w:r>
      <w:r w:rsidRPr="00F73262">
        <w:t>regular session of 2018.”</w:t>
      </w:r>
    </w:p>
    <w:p w:rsidR="00AF5C6C" w:rsidRDefault="00AF5C6C" w:rsidP="00AF5C6C">
      <w:pPr>
        <w:pStyle w:val="regularparagraphs"/>
        <w:tabs>
          <w:tab w:val="num" w:pos="450"/>
          <w:tab w:val="left" w:pos="900"/>
          <w:tab w:val="left" w:pos="1260"/>
          <w:tab w:val="left" w:pos="1710"/>
        </w:tabs>
        <w:ind w:left="900" w:hanging="900"/>
        <w:sectPr w:rsidR="00AF5C6C" w:rsidSect="00DA0E2E">
          <w:pgSz w:w="12240" w:h="15840" w:code="1"/>
          <w:pgMar w:top="720" w:right="1440" w:bottom="720" w:left="1440" w:header="360" w:footer="360" w:gutter="0"/>
          <w:cols w:space="720"/>
          <w:titlePg/>
          <w:docGrid w:linePitch="360"/>
        </w:sectPr>
      </w:pPr>
    </w:p>
    <w:p w:rsidR="00AF5C6C" w:rsidRDefault="00AF5C6C" w:rsidP="00AF5C6C">
      <w:pPr>
        <w:pStyle w:val="Header"/>
        <w:tabs>
          <w:tab w:val="clear" w:pos="4320"/>
          <w:tab w:val="clear" w:pos="8640"/>
        </w:tabs>
        <w:rPr>
          <w:sz w:val="24"/>
          <w:szCs w:val="24"/>
        </w:rPr>
      </w:pPr>
      <w:r w:rsidRPr="00187F12">
        <w:rPr>
          <w:sz w:val="24"/>
          <w:szCs w:val="24"/>
        </w:rPr>
        <w:lastRenderedPageBreak/>
        <w:t>Act 226</w:t>
      </w:r>
      <w:r>
        <w:rPr>
          <w:sz w:val="24"/>
          <w:szCs w:val="24"/>
        </w:rPr>
        <w:t>, Session Laws of Hawaii 2008</w:t>
      </w:r>
    </w:p>
    <w:p w:rsidR="00AF5C6C" w:rsidRDefault="00AF5C6C" w:rsidP="00AF5C6C">
      <w:pPr>
        <w:pStyle w:val="Header"/>
        <w:tabs>
          <w:tab w:val="clear" w:pos="4320"/>
          <w:tab w:val="clear" w:pos="8640"/>
        </w:tabs>
        <w:rPr>
          <w:sz w:val="24"/>
          <w:szCs w:val="24"/>
        </w:rPr>
      </w:pPr>
      <w:r>
        <w:rPr>
          <w:sz w:val="24"/>
          <w:szCs w:val="24"/>
        </w:rPr>
        <w:t>Report to the Legislature</w:t>
      </w:r>
    </w:p>
    <w:p w:rsidR="00AF5C6C" w:rsidRDefault="00AF5C6C" w:rsidP="00AF5C6C">
      <w:pPr>
        <w:pStyle w:val="Header"/>
        <w:tabs>
          <w:tab w:val="clear" w:pos="4320"/>
          <w:tab w:val="clear" w:pos="8640"/>
        </w:tabs>
        <w:rPr>
          <w:sz w:val="24"/>
          <w:szCs w:val="24"/>
        </w:rPr>
      </w:pPr>
      <w:r>
        <w:rPr>
          <w:sz w:val="24"/>
          <w:szCs w:val="24"/>
        </w:rPr>
        <w:t>December 19, 2014</w:t>
      </w:r>
    </w:p>
    <w:p w:rsidR="00AF5C6C" w:rsidRDefault="00AF5C6C" w:rsidP="00AF5C6C">
      <w:pPr>
        <w:pStyle w:val="Header"/>
        <w:tabs>
          <w:tab w:val="clear" w:pos="4320"/>
          <w:tab w:val="clear" w:pos="8640"/>
        </w:tabs>
        <w:rPr>
          <w:sz w:val="24"/>
          <w:szCs w:val="24"/>
        </w:rPr>
      </w:pPr>
      <w:r>
        <w:rPr>
          <w:sz w:val="24"/>
          <w:szCs w:val="24"/>
        </w:rPr>
        <w:t>Page 2</w:t>
      </w:r>
    </w:p>
    <w:p w:rsidR="00C41488" w:rsidRPr="00F73262" w:rsidRDefault="00C41488" w:rsidP="00AF5C6C">
      <w:pPr>
        <w:pStyle w:val="regularparagraphs"/>
        <w:tabs>
          <w:tab w:val="num" w:pos="450"/>
          <w:tab w:val="left" w:pos="900"/>
          <w:tab w:val="left" w:pos="1260"/>
          <w:tab w:val="left" w:pos="1710"/>
        </w:tabs>
        <w:ind w:left="900" w:hanging="900"/>
      </w:pPr>
    </w:p>
    <w:p w:rsidR="00F73262" w:rsidRPr="00421DA1" w:rsidRDefault="00F73262" w:rsidP="009C7ED3">
      <w:pPr>
        <w:numPr>
          <w:ilvl w:val="0"/>
          <w:numId w:val="1"/>
        </w:numPr>
        <w:tabs>
          <w:tab w:val="clear" w:pos="1080"/>
          <w:tab w:val="num" w:pos="450"/>
          <w:tab w:val="left" w:pos="900"/>
          <w:tab w:val="left" w:pos="1260"/>
          <w:tab w:val="left" w:pos="1710"/>
        </w:tabs>
        <w:ind w:left="446" w:hanging="446"/>
        <w:rPr>
          <w:b/>
          <w:sz w:val="24"/>
          <w:szCs w:val="24"/>
          <w:u w:val="single"/>
        </w:rPr>
      </w:pPr>
      <w:r w:rsidRPr="00F73262">
        <w:rPr>
          <w:b/>
          <w:sz w:val="24"/>
          <w:szCs w:val="24"/>
          <w:u w:val="single"/>
        </w:rPr>
        <w:t xml:space="preserve">STATUS OF AIRPORTS DIVISION ACTIVITIES </w:t>
      </w:r>
      <w:smartTag w:uri="urn:schemas-microsoft-com:office:smarttags" w:element="stockticker">
        <w:r w:rsidRPr="00F73262">
          <w:rPr>
            <w:b/>
            <w:sz w:val="24"/>
            <w:szCs w:val="24"/>
            <w:u w:val="single"/>
          </w:rPr>
          <w:t>AND</w:t>
        </w:r>
      </w:smartTag>
      <w:r w:rsidRPr="00F73262">
        <w:rPr>
          <w:b/>
          <w:sz w:val="24"/>
          <w:szCs w:val="24"/>
          <w:u w:val="single"/>
        </w:rPr>
        <w:t xml:space="preserve"> TASKS IDENTIFIED IN THE CALENDAR YEAR 201</w:t>
      </w:r>
      <w:r w:rsidR="009C7ED3">
        <w:rPr>
          <w:b/>
          <w:sz w:val="24"/>
          <w:szCs w:val="24"/>
          <w:u w:val="single"/>
        </w:rPr>
        <w:t>4</w:t>
      </w:r>
      <w:r w:rsidRPr="00F73262">
        <w:rPr>
          <w:b/>
          <w:sz w:val="24"/>
          <w:szCs w:val="24"/>
          <w:u w:val="single"/>
        </w:rPr>
        <w:t xml:space="preserve"> REPORT TO THE LEGISLATURE </w:t>
      </w:r>
      <w:r w:rsidRPr="00F73262">
        <w:rPr>
          <w:b/>
          <w:i/>
          <w:sz w:val="24"/>
          <w:szCs w:val="24"/>
          <w:u w:val="single"/>
        </w:rPr>
        <w:t>(Notations in parenthesis reference relevant Section numbers of the Act)</w:t>
      </w:r>
    </w:p>
    <w:p w:rsidR="00421DA1" w:rsidRDefault="00421DA1" w:rsidP="00C41488">
      <w:pPr>
        <w:tabs>
          <w:tab w:val="left" w:pos="900"/>
          <w:tab w:val="left" w:pos="1260"/>
          <w:tab w:val="left" w:pos="1710"/>
        </w:tabs>
        <w:ind w:left="450"/>
        <w:rPr>
          <w:b/>
          <w:sz w:val="24"/>
          <w:szCs w:val="24"/>
          <w:u w:val="single"/>
        </w:rPr>
      </w:pPr>
    </w:p>
    <w:p w:rsidR="00F73262" w:rsidRPr="00421DA1" w:rsidRDefault="00421DA1" w:rsidP="00C41488">
      <w:pPr>
        <w:tabs>
          <w:tab w:val="num" w:pos="810"/>
          <w:tab w:val="left" w:pos="1710"/>
        </w:tabs>
        <w:ind w:left="810" w:hanging="360"/>
        <w:rPr>
          <w:sz w:val="24"/>
          <w:szCs w:val="24"/>
        </w:rPr>
      </w:pPr>
      <w:r>
        <w:rPr>
          <w:sz w:val="24"/>
          <w:szCs w:val="24"/>
        </w:rPr>
        <w:t>a.</w:t>
      </w:r>
      <w:r w:rsidR="00C41488">
        <w:rPr>
          <w:sz w:val="24"/>
          <w:szCs w:val="24"/>
        </w:rPr>
        <w:tab/>
      </w:r>
      <w:r w:rsidRPr="00C41488">
        <w:rPr>
          <w:b/>
          <w:sz w:val="24"/>
          <w:szCs w:val="24"/>
        </w:rPr>
        <w:t>CFC</w:t>
      </w:r>
      <w:r>
        <w:rPr>
          <w:sz w:val="24"/>
          <w:szCs w:val="24"/>
        </w:rPr>
        <w:t xml:space="preserve">.  </w:t>
      </w:r>
      <w:r w:rsidR="00F73262" w:rsidRPr="00421DA1">
        <w:rPr>
          <w:sz w:val="24"/>
          <w:szCs w:val="24"/>
        </w:rPr>
        <w:t xml:space="preserve">Monitor 2014 legislative session to assure: uninterrupted collection of the CFC; sufficient budget appropriations for OGG and HNL projects; sufficient authority to issue revenue bonds. </w:t>
      </w:r>
      <w:r w:rsidR="00F73262" w:rsidRPr="00421DA1">
        <w:rPr>
          <w:i/>
          <w:sz w:val="24"/>
          <w:szCs w:val="24"/>
        </w:rPr>
        <w:t>(Section 9)</w:t>
      </w:r>
    </w:p>
    <w:p w:rsidR="00F73262"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The 2014 Legislature made no changes to the CFC Statute, assuring continued uninterrupted collection; DOTA determined that additional funding appropriations for the OGG and HNL projects will be required; determined that there is sufficient authority to issue revenue bonds when needed. </w:t>
      </w:r>
    </w:p>
    <w:p w:rsidR="00F73262" w:rsidRPr="00F73262" w:rsidRDefault="00C41488" w:rsidP="00C41488">
      <w:pPr>
        <w:tabs>
          <w:tab w:val="num" w:pos="810"/>
          <w:tab w:val="left" w:pos="1710"/>
        </w:tabs>
        <w:ind w:left="810" w:hanging="360"/>
        <w:rPr>
          <w:b/>
          <w:sz w:val="24"/>
          <w:szCs w:val="24"/>
        </w:rPr>
      </w:pPr>
      <w:r>
        <w:rPr>
          <w:sz w:val="24"/>
          <w:szCs w:val="24"/>
        </w:rPr>
        <w:t>b.</w:t>
      </w:r>
      <w:r>
        <w:rPr>
          <w:sz w:val="24"/>
          <w:szCs w:val="24"/>
        </w:rPr>
        <w:tab/>
      </w:r>
      <w:r w:rsidR="00F73262" w:rsidRPr="00F73262">
        <w:rPr>
          <w:b/>
          <w:sz w:val="24"/>
          <w:szCs w:val="24"/>
        </w:rPr>
        <w:t xml:space="preserve">Plan of Finance.  </w:t>
      </w:r>
      <w:r w:rsidR="00F73262" w:rsidRPr="00F73262">
        <w:rPr>
          <w:sz w:val="24"/>
          <w:szCs w:val="24"/>
        </w:rPr>
        <w:t xml:space="preserve">Complete the first of three (planned) revenue bond sales to enable continued construction of OGG Consolidated Facility and commencement of construction of HNL Consolidated Facility Phase 2B.  Close on EB5 Loan, as needed. </w:t>
      </w:r>
      <w:r w:rsidR="00F73262" w:rsidRPr="00F73262">
        <w:rPr>
          <w:i/>
          <w:sz w:val="24"/>
          <w:szCs w:val="24"/>
        </w:rPr>
        <w:t>(Section 11)</w:t>
      </w:r>
    </w:p>
    <w:p w:rsidR="00F73262"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Revised program cash flow projections indicate that revenue bonds do not need to be sold until April 2016.  EB5 Loan closed October 2014.  Determined that only two</w:t>
      </w:r>
      <w:r>
        <w:rPr>
          <w:sz w:val="24"/>
          <w:szCs w:val="24"/>
        </w:rPr>
        <w:t xml:space="preserve"> (2) future revenue bond issues </w:t>
      </w:r>
      <w:r w:rsidR="00F73262" w:rsidRPr="00F73262">
        <w:rPr>
          <w:sz w:val="24"/>
          <w:szCs w:val="24"/>
        </w:rPr>
        <w:t>will be required.</w:t>
      </w:r>
    </w:p>
    <w:p w:rsidR="00F73262" w:rsidRPr="00F73262" w:rsidRDefault="00C41488" w:rsidP="00C41488">
      <w:pPr>
        <w:tabs>
          <w:tab w:val="num" w:pos="810"/>
          <w:tab w:val="left" w:pos="1710"/>
        </w:tabs>
        <w:ind w:left="810" w:hanging="360"/>
        <w:rPr>
          <w:sz w:val="24"/>
          <w:szCs w:val="24"/>
        </w:rPr>
      </w:pPr>
      <w:r w:rsidRPr="00C41488">
        <w:rPr>
          <w:sz w:val="24"/>
          <w:szCs w:val="24"/>
        </w:rPr>
        <w:t>c.</w:t>
      </w:r>
      <w:r>
        <w:rPr>
          <w:b/>
          <w:i/>
          <w:sz w:val="24"/>
          <w:szCs w:val="24"/>
        </w:rPr>
        <w:tab/>
      </w:r>
      <w:r w:rsidR="00F73262" w:rsidRPr="00F73262">
        <w:rPr>
          <w:b/>
          <w:sz w:val="24"/>
          <w:szCs w:val="24"/>
        </w:rPr>
        <w:t>Rental Car Concessions Selection Process.</w:t>
      </w:r>
      <w:r w:rsidR="00F73262" w:rsidRPr="00F73262">
        <w:rPr>
          <w:sz w:val="24"/>
          <w:szCs w:val="24"/>
        </w:rPr>
        <w:t xml:space="preserve"> Receive MAG Bids and award rental car concessions for HNL and OGG consolidated facilities.</w:t>
      </w:r>
    </w:p>
    <w:p w:rsidR="00F73262" w:rsidRDefault="00C41488" w:rsidP="00C41488">
      <w:pPr>
        <w:tabs>
          <w:tab w:val="num" w:pos="810"/>
          <w:tab w:val="left" w:pos="1710"/>
        </w:tabs>
        <w:ind w:left="810" w:hanging="360"/>
        <w:rPr>
          <w:i/>
          <w:sz w:val="24"/>
          <w:szCs w:val="24"/>
        </w:rPr>
      </w:pPr>
      <w:r>
        <w:rPr>
          <w:sz w:val="24"/>
          <w:szCs w:val="24"/>
        </w:rPr>
        <w:tab/>
      </w:r>
      <w:r w:rsidR="00F73262" w:rsidRPr="00F73262">
        <w:rPr>
          <w:sz w:val="24"/>
          <w:szCs w:val="24"/>
          <w:u w:val="single"/>
        </w:rPr>
        <w:t>Status:</w:t>
      </w:r>
      <w:r w:rsidR="00F73262" w:rsidRPr="00F73262">
        <w:rPr>
          <w:sz w:val="24"/>
          <w:szCs w:val="24"/>
        </w:rPr>
        <w:t xml:space="preserve">  MAG bids received and concessions awarded. </w:t>
      </w:r>
      <w:r w:rsidR="00F73262" w:rsidRPr="00F73262">
        <w:rPr>
          <w:i/>
          <w:sz w:val="24"/>
          <w:szCs w:val="24"/>
        </w:rPr>
        <w:t>(Section 11)</w:t>
      </w:r>
    </w:p>
    <w:p w:rsidR="00F73262" w:rsidRPr="00F73262" w:rsidRDefault="00C41488" w:rsidP="00C41488">
      <w:pPr>
        <w:tabs>
          <w:tab w:val="num" w:pos="810"/>
          <w:tab w:val="left" w:pos="1710"/>
        </w:tabs>
        <w:ind w:left="810" w:hanging="360"/>
        <w:rPr>
          <w:sz w:val="24"/>
          <w:szCs w:val="24"/>
        </w:rPr>
      </w:pPr>
      <w:r>
        <w:rPr>
          <w:sz w:val="24"/>
          <w:szCs w:val="24"/>
        </w:rPr>
        <w:t>d.</w:t>
      </w:r>
      <w:r>
        <w:rPr>
          <w:sz w:val="24"/>
          <w:szCs w:val="24"/>
        </w:rPr>
        <w:tab/>
      </w:r>
      <w:r w:rsidR="00F73262" w:rsidRPr="00F73262">
        <w:rPr>
          <w:b/>
          <w:sz w:val="24"/>
          <w:szCs w:val="24"/>
        </w:rPr>
        <w:t xml:space="preserve">Honolulu Consolidated Facility.  </w:t>
      </w:r>
      <w:r w:rsidR="00F73262" w:rsidRPr="00F73262">
        <w:rPr>
          <w:sz w:val="24"/>
          <w:szCs w:val="24"/>
        </w:rPr>
        <w:t xml:space="preserve">Complete construction of Phase 1 (enabling projects); Commence construction of Phase 2A (interim rental car facilities); issue request for construction bids for Phase 2B. </w:t>
      </w:r>
      <w:r w:rsidR="00F73262" w:rsidRPr="00F73262">
        <w:rPr>
          <w:i/>
          <w:sz w:val="24"/>
          <w:szCs w:val="24"/>
        </w:rPr>
        <w:t>(Section 11)</w:t>
      </w:r>
    </w:p>
    <w:p w:rsidR="00C41488"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Phase 1 completed February 2014.  Phase 2A construction commenced February 2014.  Phase 2B request for construction bids to be issued March 2015.</w:t>
      </w:r>
    </w:p>
    <w:p w:rsidR="00F73262" w:rsidRPr="00F73262" w:rsidRDefault="00C41488" w:rsidP="00C41488">
      <w:pPr>
        <w:tabs>
          <w:tab w:val="num" w:pos="810"/>
          <w:tab w:val="left" w:pos="1710"/>
        </w:tabs>
        <w:ind w:left="810" w:hanging="360"/>
        <w:rPr>
          <w:sz w:val="24"/>
          <w:szCs w:val="24"/>
        </w:rPr>
      </w:pPr>
      <w:r>
        <w:rPr>
          <w:sz w:val="24"/>
          <w:szCs w:val="24"/>
        </w:rPr>
        <w:t>e.</w:t>
      </w:r>
      <w:r>
        <w:rPr>
          <w:sz w:val="24"/>
          <w:szCs w:val="24"/>
        </w:rPr>
        <w:tab/>
      </w:r>
      <w:r w:rsidR="00F73262" w:rsidRPr="00F73262">
        <w:rPr>
          <w:b/>
          <w:sz w:val="24"/>
          <w:szCs w:val="24"/>
        </w:rPr>
        <w:t xml:space="preserve">Kahului Consolidated Facility.  </w:t>
      </w:r>
      <w:r w:rsidR="00F73262" w:rsidRPr="00F73262">
        <w:rPr>
          <w:sz w:val="24"/>
          <w:szCs w:val="24"/>
        </w:rPr>
        <w:t>Commence construction of new airport access road; issue request for bids; award construction contract for, and commence construction of consolidated facility.</w:t>
      </w:r>
      <w:r w:rsidR="00F73262" w:rsidRPr="00F73262">
        <w:rPr>
          <w:i/>
          <w:sz w:val="24"/>
          <w:szCs w:val="24"/>
        </w:rPr>
        <w:t xml:space="preserve"> (Section 11)</w:t>
      </w:r>
    </w:p>
    <w:p w:rsidR="00F73262"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Construction of access road commenced October 2014.  Consolidated facility construction bids received June 2014.  Award expected by end of 2014.</w:t>
      </w:r>
    </w:p>
    <w:p w:rsidR="00F73262" w:rsidRPr="00F73262" w:rsidRDefault="00C41488" w:rsidP="00C41488">
      <w:pPr>
        <w:tabs>
          <w:tab w:val="num" w:pos="810"/>
          <w:tab w:val="left" w:pos="1710"/>
        </w:tabs>
        <w:ind w:left="810" w:hanging="360"/>
        <w:rPr>
          <w:sz w:val="24"/>
          <w:szCs w:val="24"/>
        </w:rPr>
      </w:pPr>
      <w:r>
        <w:rPr>
          <w:sz w:val="24"/>
          <w:szCs w:val="24"/>
        </w:rPr>
        <w:t>f.</w:t>
      </w:r>
      <w:r>
        <w:rPr>
          <w:sz w:val="24"/>
          <w:szCs w:val="24"/>
        </w:rPr>
        <w:tab/>
      </w:r>
      <w:r w:rsidR="00F73262" w:rsidRPr="00F73262">
        <w:rPr>
          <w:b/>
          <w:sz w:val="24"/>
          <w:szCs w:val="24"/>
        </w:rPr>
        <w:t xml:space="preserve">Kona Hydrogen Fueling Facility.  </w:t>
      </w:r>
      <w:r w:rsidR="00F73262" w:rsidRPr="00F73262">
        <w:rPr>
          <w:sz w:val="24"/>
          <w:szCs w:val="24"/>
        </w:rPr>
        <w:t xml:space="preserve">Continue to monitor “Hydrogen Highway” project for feasibility and timing. </w:t>
      </w:r>
      <w:r w:rsidR="00F73262" w:rsidRPr="00F73262">
        <w:rPr>
          <w:i/>
          <w:sz w:val="24"/>
          <w:szCs w:val="24"/>
        </w:rPr>
        <w:t>(Section 11)</w:t>
      </w:r>
    </w:p>
    <w:p w:rsidR="00F73262"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No change.</w:t>
      </w:r>
    </w:p>
    <w:p w:rsidR="00F73262" w:rsidRPr="00F73262" w:rsidRDefault="00C41488" w:rsidP="00C41488">
      <w:pPr>
        <w:tabs>
          <w:tab w:val="num" w:pos="810"/>
          <w:tab w:val="left" w:pos="1710"/>
        </w:tabs>
        <w:ind w:left="810" w:hanging="360"/>
        <w:rPr>
          <w:sz w:val="24"/>
          <w:szCs w:val="24"/>
        </w:rPr>
      </w:pPr>
      <w:r w:rsidRPr="00C41488">
        <w:rPr>
          <w:sz w:val="24"/>
          <w:szCs w:val="24"/>
        </w:rPr>
        <w:t>g.</w:t>
      </w:r>
      <w:r>
        <w:rPr>
          <w:sz w:val="24"/>
          <w:szCs w:val="24"/>
        </w:rPr>
        <w:tab/>
      </w:r>
      <w:r w:rsidR="00F73262" w:rsidRPr="00F73262">
        <w:rPr>
          <w:b/>
          <w:sz w:val="24"/>
          <w:szCs w:val="24"/>
        </w:rPr>
        <w:t>Lihue Consolidated Facility.</w:t>
      </w:r>
      <w:r w:rsidR="00F73262" w:rsidRPr="00F73262">
        <w:rPr>
          <w:sz w:val="24"/>
          <w:szCs w:val="24"/>
        </w:rPr>
        <w:t xml:space="preserve">  Finalize purchase contract negotiations and close on purchase of land for new consolidated facility.</w:t>
      </w:r>
      <w:r w:rsidR="00F73262" w:rsidRPr="00F73262">
        <w:rPr>
          <w:i/>
          <w:sz w:val="24"/>
          <w:szCs w:val="24"/>
        </w:rPr>
        <w:t xml:space="preserve"> (Section 11)</w:t>
      </w:r>
    </w:p>
    <w:p w:rsidR="00AF5C6C" w:rsidRDefault="00C41488" w:rsidP="00AF5C6C">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Anticipated by June 2015.</w:t>
      </w:r>
    </w:p>
    <w:p w:rsidR="00F73262" w:rsidRPr="00F73262" w:rsidRDefault="00AF5C6C" w:rsidP="00AF5C6C">
      <w:pPr>
        <w:tabs>
          <w:tab w:val="num" w:pos="810"/>
          <w:tab w:val="left" w:pos="1710"/>
        </w:tabs>
        <w:ind w:left="810" w:hanging="360"/>
        <w:rPr>
          <w:sz w:val="24"/>
          <w:szCs w:val="24"/>
        </w:rPr>
      </w:pPr>
      <w:r>
        <w:rPr>
          <w:sz w:val="24"/>
          <w:szCs w:val="24"/>
        </w:rPr>
        <w:t>h.</w:t>
      </w:r>
      <w:r>
        <w:rPr>
          <w:sz w:val="24"/>
          <w:szCs w:val="24"/>
        </w:rPr>
        <w:tab/>
      </w:r>
      <w:r w:rsidR="00F73262" w:rsidRPr="00F73262">
        <w:rPr>
          <w:b/>
          <w:sz w:val="24"/>
          <w:szCs w:val="24"/>
        </w:rPr>
        <w:t>Quarterly Update Meetings.</w:t>
      </w:r>
      <w:r w:rsidR="00F73262" w:rsidRPr="00F73262">
        <w:rPr>
          <w:sz w:val="24"/>
          <w:szCs w:val="24"/>
        </w:rPr>
        <w:t xml:space="preserve"> Continue regular meetings with the rental car industry representatives.</w:t>
      </w:r>
      <w:r w:rsidR="00F73262" w:rsidRPr="00F73262">
        <w:rPr>
          <w:i/>
          <w:sz w:val="24"/>
          <w:szCs w:val="24"/>
        </w:rPr>
        <w:t xml:space="preserve"> (Section 11)</w:t>
      </w:r>
    </w:p>
    <w:p w:rsidR="00F73262" w:rsidRPr="00F73262" w:rsidRDefault="00C41488" w:rsidP="00C41488">
      <w:pPr>
        <w:tabs>
          <w:tab w:val="num" w:pos="810"/>
          <w:tab w:val="left" w:pos="1710"/>
        </w:tabs>
        <w:ind w:left="810" w:hanging="360"/>
        <w:rPr>
          <w:sz w:val="24"/>
          <w:szCs w:val="24"/>
        </w:rPr>
      </w:pPr>
      <w:r>
        <w:rPr>
          <w:sz w:val="24"/>
          <w:szCs w:val="24"/>
        </w:rPr>
        <w:tab/>
      </w:r>
      <w:r w:rsidR="00F73262" w:rsidRPr="00F73262">
        <w:rPr>
          <w:sz w:val="24"/>
          <w:szCs w:val="24"/>
          <w:u w:val="single"/>
        </w:rPr>
        <w:t>Status:</w:t>
      </w:r>
      <w:r w:rsidR="00F73262" w:rsidRPr="00F73262">
        <w:rPr>
          <w:sz w:val="24"/>
          <w:szCs w:val="24"/>
        </w:rPr>
        <w:t xml:space="preserve">  Regular monthly meetings held.</w:t>
      </w:r>
    </w:p>
    <w:p w:rsidR="00F73262" w:rsidRDefault="00F73262" w:rsidP="00C41488">
      <w:pPr>
        <w:tabs>
          <w:tab w:val="num" w:pos="450"/>
          <w:tab w:val="left" w:pos="900"/>
          <w:tab w:val="left" w:pos="1260"/>
          <w:tab w:val="left" w:pos="1710"/>
        </w:tabs>
        <w:ind w:left="450" w:hanging="450"/>
        <w:rPr>
          <w:sz w:val="24"/>
          <w:szCs w:val="24"/>
        </w:rPr>
      </w:pPr>
    </w:p>
    <w:p w:rsidR="00AF5C6C" w:rsidRDefault="00AF5C6C" w:rsidP="00C41488">
      <w:pPr>
        <w:tabs>
          <w:tab w:val="num" w:pos="450"/>
          <w:tab w:val="left" w:pos="900"/>
          <w:tab w:val="left" w:pos="1260"/>
          <w:tab w:val="left" w:pos="1710"/>
        </w:tabs>
        <w:ind w:left="450" w:hanging="450"/>
        <w:rPr>
          <w:sz w:val="24"/>
          <w:szCs w:val="24"/>
        </w:rPr>
      </w:pPr>
    </w:p>
    <w:p w:rsidR="00AF5C6C" w:rsidRDefault="00AF5C6C" w:rsidP="00AF5C6C">
      <w:pPr>
        <w:pStyle w:val="Header"/>
        <w:tabs>
          <w:tab w:val="clear" w:pos="4320"/>
          <w:tab w:val="clear" w:pos="8640"/>
        </w:tabs>
        <w:rPr>
          <w:sz w:val="24"/>
          <w:szCs w:val="24"/>
        </w:rPr>
      </w:pPr>
      <w:r w:rsidRPr="00187F12">
        <w:rPr>
          <w:sz w:val="24"/>
          <w:szCs w:val="24"/>
        </w:rPr>
        <w:lastRenderedPageBreak/>
        <w:t>Act 226</w:t>
      </w:r>
      <w:r>
        <w:rPr>
          <w:sz w:val="24"/>
          <w:szCs w:val="24"/>
        </w:rPr>
        <w:t>, Session Laws of Hawaii 2008</w:t>
      </w:r>
    </w:p>
    <w:p w:rsidR="00AF5C6C" w:rsidRDefault="00AF5C6C" w:rsidP="00AF5C6C">
      <w:pPr>
        <w:pStyle w:val="Header"/>
        <w:tabs>
          <w:tab w:val="clear" w:pos="4320"/>
          <w:tab w:val="clear" w:pos="8640"/>
        </w:tabs>
        <w:rPr>
          <w:sz w:val="24"/>
          <w:szCs w:val="24"/>
        </w:rPr>
      </w:pPr>
      <w:r>
        <w:rPr>
          <w:sz w:val="24"/>
          <w:szCs w:val="24"/>
        </w:rPr>
        <w:t>Report to the Legislature</w:t>
      </w:r>
    </w:p>
    <w:p w:rsidR="00AF5C6C" w:rsidRDefault="00AF5C6C" w:rsidP="00AF5C6C">
      <w:pPr>
        <w:pStyle w:val="Header"/>
        <w:tabs>
          <w:tab w:val="clear" w:pos="4320"/>
          <w:tab w:val="clear" w:pos="8640"/>
        </w:tabs>
        <w:rPr>
          <w:sz w:val="24"/>
          <w:szCs w:val="24"/>
        </w:rPr>
      </w:pPr>
      <w:r>
        <w:rPr>
          <w:sz w:val="24"/>
          <w:szCs w:val="24"/>
        </w:rPr>
        <w:t>December 19, 2014</w:t>
      </w:r>
    </w:p>
    <w:p w:rsidR="00AF5C6C" w:rsidRDefault="00AF5C6C" w:rsidP="00AF5C6C">
      <w:pPr>
        <w:pStyle w:val="Header"/>
        <w:tabs>
          <w:tab w:val="clear" w:pos="4320"/>
          <w:tab w:val="clear" w:pos="8640"/>
        </w:tabs>
        <w:rPr>
          <w:sz w:val="24"/>
          <w:szCs w:val="24"/>
        </w:rPr>
      </w:pPr>
      <w:r>
        <w:rPr>
          <w:sz w:val="24"/>
          <w:szCs w:val="24"/>
        </w:rPr>
        <w:t>Page 3</w:t>
      </w:r>
    </w:p>
    <w:p w:rsidR="00AF5C6C" w:rsidRPr="00F73262" w:rsidRDefault="00AF5C6C" w:rsidP="00AF5C6C">
      <w:pPr>
        <w:pStyle w:val="regularparagraphs"/>
        <w:tabs>
          <w:tab w:val="num" w:pos="450"/>
          <w:tab w:val="left" w:pos="900"/>
          <w:tab w:val="left" w:pos="1260"/>
          <w:tab w:val="left" w:pos="1710"/>
        </w:tabs>
        <w:ind w:left="900" w:hanging="900"/>
      </w:pPr>
    </w:p>
    <w:p w:rsidR="00AF5C6C" w:rsidRDefault="00F73262" w:rsidP="00AF5C6C">
      <w:pPr>
        <w:pStyle w:val="ListParagraph"/>
        <w:numPr>
          <w:ilvl w:val="0"/>
          <w:numId w:val="1"/>
        </w:numPr>
        <w:tabs>
          <w:tab w:val="clear" w:pos="1080"/>
          <w:tab w:val="num" w:pos="450"/>
          <w:tab w:val="left" w:pos="900"/>
          <w:tab w:val="left" w:pos="1260"/>
          <w:tab w:val="left" w:pos="1710"/>
        </w:tabs>
        <w:ind w:left="450" w:hanging="450"/>
        <w:rPr>
          <w:b/>
          <w:u w:val="single"/>
        </w:rPr>
      </w:pPr>
      <w:r w:rsidRPr="00F73262">
        <w:rPr>
          <w:b/>
          <w:u w:val="single"/>
        </w:rPr>
        <w:t>ACTIVITIES AND TASKS FOR CALENDAR YEAR 2015</w:t>
      </w:r>
    </w:p>
    <w:p w:rsidR="00AF5C6C" w:rsidRDefault="00AF5C6C" w:rsidP="00AF5C6C">
      <w:pPr>
        <w:pStyle w:val="ListParagraph"/>
        <w:tabs>
          <w:tab w:val="left" w:pos="450"/>
          <w:tab w:val="left" w:pos="900"/>
          <w:tab w:val="left" w:pos="1260"/>
          <w:tab w:val="left" w:pos="1710"/>
        </w:tabs>
        <w:ind w:left="0"/>
        <w:rPr>
          <w:b/>
          <w:u w:val="single"/>
        </w:rPr>
      </w:pPr>
    </w:p>
    <w:p w:rsidR="00F73262" w:rsidRDefault="00AF5C6C" w:rsidP="00AF5C6C">
      <w:pPr>
        <w:pStyle w:val="ListParagraph"/>
        <w:tabs>
          <w:tab w:val="left" w:pos="810"/>
          <w:tab w:val="left" w:pos="1260"/>
          <w:tab w:val="left" w:pos="1710"/>
        </w:tabs>
        <w:ind w:left="810" w:hanging="360"/>
        <w:rPr>
          <w:i/>
        </w:rPr>
      </w:pPr>
      <w:r>
        <w:t>a.</w:t>
      </w:r>
      <w:r>
        <w:tab/>
      </w:r>
      <w:r w:rsidR="00F73262" w:rsidRPr="00F73262">
        <w:rPr>
          <w:b/>
        </w:rPr>
        <w:t xml:space="preserve">CFC.  </w:t>
      </w:r>
      <w:r w:rsidR="00F73262" w:rsidRPr="00F73262">
        <w:t>Monitor 2015 legislative session to: assure uninterrupted collection of the CFC; obtain sufficient budget appropriations for OGG and HNL ConRAC facility projects; (</w:t>
      </w:r>
      <w:r w:rsidR="00F73262" w:rsidRPr="00F73262">
        <w:rPr>
          <w:i/>
        </w:rPr>
        <w:t>Section 9)</w:t>
      </w:r>
    </w:p>
    <w:p w:rsidR="00F73262" w:rsidRDefault="00AF5C6C" w:rsidP="00AF5C6C">
      <w:pPr>
        <w:pStyle w:val="ListParagraph"/>
        <w:tabs>
          <w:tab w:val="left" w:pos="810"/>
          <w:tab w:val="left" w:pos="1260"/>
          <w:tab w:val="left" w:pos="1710"/>
        </w:tabs>
        <w:ind w:left="810" w:hanging="360"/>
        <w:rPr>
          <w:i/>
        </w:rPr>
      </w:pPr>
      <w:r>
        <w:t>b.</w:t>
      </w:r>
      <w:r>
        <w:tab/>
      </w:r>
      <w:r w:rsidR="00F73262" w:rsidRPr="00F73262">
        <w:rPr>
          <w:b/>
        </w:rPr>
        <w:t xml:space="preserve">Plan of Finance. </w:t>
      </w:r>
      <w:r w:rsidR="00F73262" w:rsidRPr="00F73262">
        <w:t xml:space="preserve"> Continue to monitor CFC collections; update cash flow requirements; update financial analysis as project construction contracts awarded.</w:t>
      </w:r>
      <w:r w:rsidR="00F73262" w:rsidRPr="00F73262">
        <w:rPr>
          <w:b/>
        </w:rPr>
        <w:t xml:space="preserve"> </w:t>
      </w:r>
      <w:r w:rsidR="00F73262" w:rsidRPr="00F73262">
        <w:rPr>
          <w:i/>
        </w:rPr>
        <w:t xml:space="preserve">(Section 11) </w:t>
      </w:r>
    </w:p>
    <w:p w:rsidR="00F73262" w:rsidRDefault="00AF5C6C" w:rsidP="00AF5C6C">
      <w:pPr>
        <w:pStyle w:val="ListParagraph"/>
        <w:tabs>
          <w:tab w:val="left" w:pos="810"/>
          <w:tab w:val="left" w:pos="1260"/>
          <w:tab w:val="left" w:pos="1710"/>
        </w:tabs>
        <w:ind w:left="810" w:hanging="360"/>
        <w:rPr>
          <w:i/>
        </w:rPr>
      </w:pPr>
      <w:r>
        <w:t>c.</w:t>
      </w:r>
      <w:r>
        <w:tab/>
      </w:r>
      <w:r w:rsidR="00F73262" w:rsidRPr="00F73262">
        <w:rPr>
          <w:b/>
        </w:rPr>
        <w:t>Rental Car Concessions Selection Process.</w:t>
      </w:r>
      <w:r w:rsidR="00F73262" w:rsidRPr="00F73262">
        <w:t xml:space="preserve"> Re-bid neighbor island rental car concessions. </w:t>
      </w:r>
      <w:r w:rsidR="00F73262" w:rsidRPr="00F73262">
        <w:rPr>
          <w:i/>
        </w:rPr>
        <w:t>(Section 11)</w:t>
      </w:r>
    </w:p>
    <w:p w:rsidR="00AF5C6C" w:rsidRDefault="00AF5C6C" w:rsidP="00AF5C6C">
      <w:pPr>
        <w:pStyle w:val="ListParagraph"/>
        <w:tabs>
          <w:tab w:val="left" w:pos="810"/>
          <w:tab w:val="left" w:pos="1260"/>
          <w:tab w:val="left" w:pos="1710"/>
        </w:tabs>
        <w:ind w:left="810" w:hanging="360"/>
        <w:rPr>
          <w:i/>
        </w:rPr>
      </w:pPr>
      <w:r>
        <w:t>d.</w:t>
      </w:r>
      <w:r>
        <w:rPr>
          <w:i/>
        </w:rPr>
        <w:tab/>
      </w:r>
      <w:r w:rsidR="00F73262" w:rsidRPr="00F73262">
        <w:rPr>
          <w:b/>
        </w:rPr>
        <w:t xml:space="preserve">Honolulu Consolidated Facility.  </w:t>
      </w:r>
      <w:r w:rsidR="00F73262" w:rsidRPr="00F73262">
        <w:t>Complete Phase 2A construction and commence operating from Phase 2A interim rental car facilities. Receive construction bids and award construction contract for Phase 2B permanent consolidated facility.</w:t>
      </w:r>
      <w:r w:rsidR="00F73262" w:rsidRPr="00F73262">
        <w:rPr>
          <w:b/>
        </w:rPr>
        <w:t xml:space="preserve"> </w:t>
      </w:r>
      <w:r w:rsidR="00F73262" w:rsidRPr="00F73262">
        <w:rPr>
          <w:i/>
        </w:rPr>
        <w:t>(Section 11)</w:t>
      </w:r>
    </w:p>
    <w:p w:rsidR="00F73262" w:rsidRDefault="00AF5C6C" w:rsidP="00AF5C6C">
      <w:pPr>
        <w:pStyle w:val="ListParagraph"/>
        <w:tabs>
          <w:tab w:val="left" w:pos="810"/>
          <w:tab w:val="left" w:pos="1260"/>
          <w:tab w:val="left" w:pos="1710"/>
        </w:tabs>
        <w:ind w:left="810" w:hanging="360"/>
        <w:rPr>
          <w:i/>
        </w:rPr>
      </w:pPr>
      <w:r>
        <w:t>e.</w:t>
      </w:r>
      <w:r>
        <w:tab/>
      </w:r>
      <w:r w:rsidR="00F73262" w:rsidRPr="00F73262">
        <w:rPr>
          <w:b/>
        </w:rPr>
        <w:t xml:space="preserve">Kahului Consolidated Facility.  </w:t>
      </w:r>
      <w:r w:rsidR="00F73262" w:rsidRPr="00F73262">
        <w:t>Complete construction of new airport access road.  Commence construction of consolidated facility.</w:t>
      </w:r>
      <w:r w:rsidR="00F73262" w:rsidRPr="00F73262">
        <w:rPr>
          <w:b/>
        </w:rPr>
        <w:t xml:space="preserve"> </w:t>
      </w:r>
      <w:r w:rsidR="00F73262" w:rsidRPr="00F73262">
        <w:rPr>
          <w:i/>
        </w:rPr>
        <w:t>(Section 11)</w:t>
      </w:r>
    </w:p>
    <w:p w:rsidR="00F73262" w:rsidRDefault="00AF5C6C" w:rsidP="00AF5C6C">
      <w:pPr>
        <w:pStyle w:val="ListParagraph"/>
        <w:tabs>
          <w:tab w:val="left" w:pos="810"/>
          <w:tab w:val="left" w:pos="1260"/>
          <w:tab w:val="left" w:pos="1710"/>
        </w:tabs>
        <w:ind w:left="810" w:hanging="360"/>
        <w:rPr>
          <w:i/>
        </w:rPr>
      </w:pPr>
      <w:r>
        <w:t>f.</w:t>
      </w:r>
      <w:r>
        <w:tab/>
      </w:r>
      <w:r w:rsidR="00F73262" w:rsidRPr="00F73262">
        <w:rPr>
          <w:b/>
        </w:rPr>
        <w:t xml:space="preserve">Kona Hydrogen Fueling Facility.  </w:t>
      </w:r>
      <w:r w:rsidR="00F73262" w:rsidRPr="00F73262">
        <w:t xml:space="preserve">Continue to monitor “Hydrogen Highway” project for feasibility and timing. </w:t>
      </w:r>
      <w:r w:rsidR="00F73262" w:rsidRPr="00F73262">
        <w:rPr>
          <w:i/>
        </w:rPr>
        <w:t>(Section 11)</w:t>
      </w:r>
    </w:p>
    <w:p w:rsidR="00F73262" w:rsidRDefault="00AF5C6C" w:rsidP="00AF5C6C">
      <w:pPr>
        <w:pStyle w:val="ListParagraph"/>
        <w:tabs>
          <w:tab w:val="left" w:pos="810"/>
          <w:tab w:val="left" w:pos="1260"/>
          <w:tab w:val="left" w:pos="1710"/>
        </w:tabs>
        <w:ind w:left="810" w:hanging="360"/>
        <w:rPr>
          <w:i/>
        </w:rPr>
      </w:pPr>
      <w:r>
        <w:t>g.</w:t>
      </w:r>
      <w:r>
        <w:tab/>
      </w:r>
      <w:r w:rsidR="00F73262" w:rsidRPr="00F73262">
        <w:rPr>
          <w:b/>
        </w:rPr>
        <w:t>Lihue Consolidated Facility.</w:t>
      </w:r>
      <w:r w:rsidR="00F73262" w:rsidRPr="00F73262">
        <w:rPr>
          <w:i/>
        </w:rPr>
        <w:t xml:space="preserve"> </w:t>
      </w:r>
      <w:r w:rsidR="00F73262" w:rsidRPr="00F73262">
        <w:t xml:space="preserve">Coordination as required with sellers of land site to obtain subdivision approval. </w:t>
      </w:r>
      <w:r w:rsidR="00F73262" w:rsidRPr="00F73262">
        <w:rPr>
          <w:i/>
        </w:rPr>
        <w:t>(Section 11)</w:t>
      </w:r>
    </w:p>
    <w:p w:rsidR="00F73262" w:rsidRPr="00F73262" w:rsidRDefault="00AF5C6C" w:rsidP="00AF5C6C">
      <w:pPr>
        <w:pStyle w:val="ListParagraph"/>
        <w:tabs>
          <w:tab w:val="left" w:pos="810"/>
          <w:tab w:val="left" w:pos="1260"/>
          <w:tab w:val="left" w:pos="1710"/>
        </w:tabs>
        <w:ind w:left="810" w:hanging="360"/>
      </w:pPr>
      <w:r>
        <w:t>h.</w:t>
      </w:r>
      <w:r>
        <w:tab/>
      </w:r>
      <w:r w:rsidR="00F73262" w:rsidRPr="00F73262">
        <w:rPr>
          <w:b/>
        </w:rPr>
        <w:t>Quarterly Update Meetings.</w:t>
      </w:r>
      <w:r w:rsidR="00F73262" w:rsidRPr="00F73262">
        <w:t xml:space="preserve"> Continue regular meetings with the rental car industry representatives.</w:t>
      </w:r>
      <w:r w:rsidR="00F73262" w:rsidRPr="00F73262">
        <w:rPr>
          <w:i/>
        </w:rPr>
        <w:t xml:space="preserve"> (Section 11)</w:t>
      </w:r>
    </w:p>
    <w:p w:rsidR="00F73262" w:rsidRPr="00F73262" w:rsidRDefault="00F73262" w:rsidP="00AF5C6C">
      <w:pPr>
        <w:pStyle w:val="Header"/>
        <w:tabs>
          <w:tab w:val="clear" w:pos="4320"/>
          <w:tab w:val="clear" w:pos="8640"/>
          <w:tab w:val="left" w:pos="450"/>
          <w:tab w:val="left" w:pos="900"/>
          <w:tab w:val="left" w:pos="1260"/>
          <w:tab w:val="left" w:pos="1710"/>
        </w:tabs>
        <w:rPr>
          <w:sz w:val="24"/>
          <w:szCs w:val="24"/>
        </w:rPr>
      </w:pPr>
    </w:p>
    <w:sectPr w:rsidR="00F73262" w:rsidRPr="00F73262" w:rsidSect="00AF5C6C">
      <w:pgSz w:w="12240" w:h="15840" w:code="1"/>
      <w:pgMar w:top="1440" w:right="1440" w:bottom="720"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10" w:rsidRDefault="00DC3610">
      <w:r>
        <w:separator/>
      </w:r>
    </w:p>
  </w:endnote>
  <w:endnote w:type="continuationSeparator" w:id="0">
    <w:p w:rsidR="00DC3610" w:rsidRDefault="00DC3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10" w:rsidRDefault="00DC3610">
      <w:r>
        <w:separator/>
      </w:r>
    </w:p>
  </w:footnote>
  <w:footnote w:type="continuationSeparator" w:id="0">
    <w:p w:rsidR="00DC3610" w:rsidRDefault="00DC3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2CC8"/>
    <w:multiLevelType w:val="hybridMultilevel"/>
    <w:tmpl w:val="E9A27CF4"/>
    <w:lvl w:ilvl="0" w:tplc="7E94544C">
      <w:start w:val="1"/>
      <w:numFmt w:val="upperRoman"/>
      <w:lvlText w:val="%1."/>
      <w:lvlJc w:val="left"/>
      <w:pPr>
        <w:tabs>
          <w:tab w:val="num" w:pos="1080"/>
        </w:tabs>
        <w:ind w:left="1080" w:hanging="720"/>
      </w:pPr>
      <w:rPr>
        <w:rFonts w:hint="default"/>
      </w:rPr>
    </w:lvl>
    <w:lvl w:ilvl="1" w:tplc="F3546C6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37EC8"/>
    <w:rsid w:val="00076D17"/>
    <w:rsid w:val="000B296D"/>
    <w:rsid w:val="00110CC6"/>
    <w:rsid w:val="00143CF8"/>
    <w:rsid w:val="00171A33"/>
    <w:rsid w:val="0017201A"/>
    <w:rsid w:val="00184B7A"/>
    <w:rsid w:val="00187F12"/>
    <w:rsid w:val="002762EF"/>
    <w:rsid w:val="00343382"/>
    <w:rsid w:val="00350955"/>
    <w:rsid w:val="00365825"/>
    <w:rsid w:val="00414CD7"/>
    <w:rsid w:val="00421DA1"/>
    <w:rsid w:val="00423079"/>
    <w:rsid w:val="0047105E"/>
    <w:rsid w:val="00476EDE"/>
    <w:rsid w:val="004F408A"/>
    <w:rsid w:val="005437DD"/>
    <w:rsid w:val="00545A3E"/>
    <w:rsid w:val="005C08D5"/>
    <w:rsid w:val="005C0CE0"/>
    <w:rsid w:val="005C5BFA"/>
    <w:rsid w:val="005F2207"/>
    <w:rsid w:val="007B0B28"/>
    <w:rsid w:val="007B2209"/>
    <w:rsid w:val="00804DC0"/>
    <w:rsid w:val="00820F8F"/>
    <w:rsid w:val="00847A9C"/>
    <w:rsid w:val="00900BAD"/>
    <w:rsid w:val="009332A6"/>
    <w:rsid w:val="00950013"/>
    <w:rsid w:val="00954D6B"/>
    <w:rsid w:val="009650C0"/>
    <w:rsid w:val="00976554"/>
    <w:rsid w:val="009A0DCC"/>
    <w:rsid w:val="009B5017"/>
    <w:rsid w:val="009C7ED3"/>
    <w:rsid w:val="009F19E6"/>
    <w:rsid w:val="009F5CDB"/>
    <w:rsid w:val="00A37EC8"/>
    <w:rsid w:val="00A4109E"/>
    <w:rsid w:val="00A521B6"/>
    <w:rsid w:val="00A7639D"/>
    <w:rsid w:val="00AB6D89"/>
    <w:rsid w:val="00AF5C6C"/>
    <w:rsid w:val="00B85BF6"/>
    <w:rsid w:val="00C31F8B"/>
    <w:rsid w:val="00C41488"/>
    <w:rsid w:val="00CB414A"/>
    <w:rsid w:val="00D603C3"/>
    <w:rsid w:val="00DA0E2E"/>
    <w:rsid w:val="00DC3610"/>
    <w:rsid w:val="00DD2716"/>
    <w:rsid w:val="00DD4488"/>
    <w:rsid w:val="00E44599"/>
    <w:rsid w:val="00E56E0E"/>
    <w:rsid w:val="00E625D9"/>
    <w:rsid w:val="00EA1E00"/>
    <w:rsid w:val="00EC3885"/>
    <w:rsid w:val="00ED6C36"/>
    <w:rsid w:val="00F132A4"/>
    <w:rsid w:val="00F73262"/>
    <w:rsid w:val="00FA3520"/>
    <w:rsid w:val="00FE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E2E"/>
  </w:style>
  <w:style w:type="paragraph" w:styleId="Heading1">
    <w:name w:val="heading 1"/>
    <w:basedOn w:val="Normal"/>
    <w:next w:val="Normal"/>
    <w:qFormat/>
    <w:rsid w:val="00DA0E2E"/>
    <w:pPr>
      <w:keepNext/>
      <w:jc w:val="center"/>
      <w:outlineLvl w:val="0"/>
    </w:pPr>
    <w:rPr>
      <w:rFonts w:ascii="Arial" w:hAnsi="Arial" w:cs="Arial"/>
      <w:b/>
      <w:bCs/>
    </w:rPr>
  </w:style>
  <w:style w:type="paragraph" w:styleId="Heading2">
    <w:name w:val="heading 2"/>
    <w:basedOn w:val="Normal"/>
    <w:next w:val="Normal"/>
    <w:qFormat/>
    <w:rsid w:val="00DA0E2E"/>
    <w:pPr>
      <w:keepNext/>
      <w:jc w:val="center"/>
      <w:outlineLvl w:val="1"/>
    </w:pPr>
    <w:rPr>
      <w:rFonts w:ascii="Arial" w:hAnsi="Arial" w:cs="Arial"/>
      <w:b/>
      <w:bCs/>
      <w:sz w:val="18"/>
    </w:rPr>
  </w:style>
  <w:style w:type="paragraph" w:styleId="Heading3">
    <w:name w:val="heading 3"/>
    <w:basedOn w:val="Normal"/>
    <w:next w:val="Normal"/>
    <w:qFormat/>
    <w:rsid w:val="00DA0E2E"/>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E2E"/>
    <w:pPr>
      <w:tabs>
        <w:tab w:val="center" w:pos="4320"/>
        <w:tab w:val="right" w:pos="8640"/>
      </w:tabs>
    </w:pPr>
  </w:style>
  <w:style w:type="paragraph" w:styleId="Footer">
    <w:name w:val="footer"/>
    <w:basedOn w:val="Normal"/>
    <w:rsid w:val="00DA0E2E"/>
    <w:pPr>
      <w:tabs>
        <w:tab w:val="center" w:pos="4320"/>
        <w:tab w:val="right" w:pos="8640"/>
      </w:tabs>
    </w:pPr>
  </w:style>
  <w:style w:type="paragraph" w:styleId="BodyText">
    <w:name w:val="Body Text"/>
    <w:basedOn w:val="Normal"/>
    <w:rsid w:val="00DA0E2E"/>
    <w:rPr>
      <w:rFonts w:ascii="Arial" w:hAnsi="Arial" w:cs="Arial"/>
      <w:sz w:val="12"/>
    </w:rPr>
  </w:style>
  <w:style w:type="paragraph" w:styleId="BalloonText">
    <w:name w:val="Balloon Text"/>
    <w:basedOn w:val="Normal"/>
    <w:link w:val="BalloonTextChar"/>
    <w:rsid w:val="00AB6D89"/>
    <w:rPr>
      <w:rFonts w:ascii="Tahoma" w:hAnsi="Tahoma" w:cs="Tahoma"/>
      <w:sz w:val="16"/>
      <w:szCs w:val="16"/>
    </w:rPr>
  </w:style>
  <w:style w:type="character" w:customStyle="1" w:styleId="BalloonTextChar">
    <w:name w:val="Balloon Text Char"/>
    <w:basedOn w:val="DefaultParagraphFont"/>
    <w:link w:val="BalloonText"/>
    <w:rsid w:val="00AB6D89"/>
    <w:rPr>
      <w:rFonts w:ascii="Tahoma" w:hAnsi="Tahoma" w:cs="Tahoma"/>
      <w:sz w:val="16"/>
      <w:szCs w:val="16"/>
    </w:rPr>
  </w:style>
  <w:style w:type="paragraph" w:customStyle="1" w:styleId="regularparagraphs">
    <w:name w:val="regularparagraphs"/>
    <w:basedOn w:val="Normal"/>
    <w:rsid w:val="00F73262"/>
    <w:pPr>
      <w:spacing w:before="100" w:beforeAutospacing="1" w:after="100" w:afterAutospacing="1"/>
    </w:pPr>
    <w:rPr>
      <w:sz w:val="24"/>
      <w:szCs w:val="24"/>
    </w:rPr>
  </w:style>
  <w:style w:type="paragraph" w:customStyle="1" w:styleId="1paragraph">
    <w:name w:val="1paragraph"/>
    <w:basedOn w:val="Normal"/>
    <w:rsid w:val="00F73262"/>
    <w:pPr>
      <w:spacing w:before="100" w:beforeAutospacing="1" w:after="100" w:afterAutospacing="1"/>
    </w:pPr>
    <w:rPr>
      <w:sz w:val="24"/>
      <w:szCs w:val="24"/>
    </w:rPr>
  </w:style>
  <w:style w:type="paragraph" w:styleId="ListParagraph">
    <w:name w:val="List Paragraph"/>
    <w:basedOn w:val="Normal"/>
    <w:uiPriority w:val="34"/>
    <w:qFormat/>
    <w:rsid w:val="00F7326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4808-0E81-4918-8194-390442E3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Linda Lingle</vt:lpstr>
    </vt:vector>
  </TitlesOfParts>
  <Company>DOT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Lingle</dc:title>
  <dc:creator>cyoshimo</dc:creator>
  <cp:lastModifiedBy>drodrigu</cp:lastModifiedBy>
  <cp:revision>3</cp:revision>
  <cp:lastPrinted>2014-12-19T21:15:00Z</cp:lastPrinted>
  <dcterms:created xsi:type="dcterms:W3CDTF">2014-12-19T21:08:00Z</dcterms:created>
  <dcterms:modified xsi:type="dcterms:W3CDTF">2014-12-19T21:18:00Z</dcterms:modified>
</cp:coreProperties>
</file>